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A7526" w14:textId="77777777" w:rsidR="000B139B" w:rsidRDefault="00DB4960">
      <w:pPr>
        <w:autoSpaceDE w:val="0"/>
        <w:spacing w:after="0" w:line="276" w:lineRule="auto"/>
        <w:rPr>
          <w:rFonts w:cs="Calibri"/>
          <w:b/>
          <w:bCs/>
          <w:sz w:val="32"/>
          <w:szCs w:val="32"/>
          <w:lang w:val="en-GB"/>
        </w:rPr>
      </w:pPr>
      <w:r>
        <w:rPr>
          <w:rFonts w:cs="Calibri"/>
          <w:b/>
          <w:bCs/>
          <w:sz w:val="32"/>
          <w:szCs w:val="32"/>
          <w:lang w:val="en-GB"/>
        </w:rPr>
        <w:t>Visualizing shipbuilding features through textual evidence: the case of the 19th century brigs</w:t>
      </w:r>
    </w:p>
    <w:p w14:paraId="364D357B" w14:textId="77777777" w:rsidR="000B139B" w:rsidRDefault="000B139B">
      <w:pPr>
        <w:autoSpaceDE w:val="0"/>
        <w:spacing w:after="0" w:line="276" w:lineRule="auto"/>
        <w:rPr>
          <w:rFonts w:cs="Calibri"/>
          <w:b/>
          <w:bCs/>
          <w:sz w:val="32"/>
          <w:szCs w:val="32"/>
          <w:lang w:val="en-GB"/>
        </w:rPr>
      </w:pPr>
    </w:p>
    <w:p w14:paraId="4B098121" w14:textId="77777777" w:rsidR="000B139B" w:rsidRDefault="00DB4960">
      <w:r>
        <w:rPr>
          <w:rFonts w:cs="Calibri"/>
          <w:sz w:val="28"/>
          <w:szCs w:val="28"/>
          <w:lang w:val="en-US"/>
        </w:rPr>
        <w:t xml:space="preserve">Andri </w:t>
      </w:r>
      <w:proofErr w:type="spellStart"/>
      <w:r>
        <w:rPr>
          <w:rFonts w:cs="Calibri"/>
          <w:sz w:val="28"/>
          <w:szCs w:val="28"/>
          <w:lang w:val="en-US"/>
        </w:rPr>
        <w:t>Evripidou</w:t>
      </w:r>
      <w:proofErr w:type="spellEnd"/>
      <w:r>
        <w:rPr>
          <w:rFonts w:cs="Calibri"/>
          <w:sz w:val="28"/>
          <w:szCs w:val="28"/>
          <w:lang w:val="en-US"/>
        </w:rPr>
        <w:t xml:space="preserve">, </w:t>
      </w:r>
      <w:r>
        <w:rPr>
          <w:rFonts w:cs="Calibri"/>
          <w:sz w:val="28"/>
          <w:szCs w:val="28"/>
        </w:rPr>
        <w:t>ΜΑ</w:t>
      </w:r>
      <w:r>
        <w:rPr>
          <w:rFonts w:cs="Calibri"/>
          <w:sz w:val="28"/>
          <w:szCs w:val="28"/>
          <w:lang w:val="en-US"/>
        </w:rPr>
        <w:t xml:space="preserve"> </w:t>
      </w:r>
    </w:p>
    <w:p w14:paraId="46ABB9D6" w14:textId="77777777" w:rsidR="000B139B" w:rsidRDefault="00DB4960">
      <w:pPr>
        <w:pStyle w:val="Default"/>
      </w:pPr>
      <w:r>
        <w:rPr>
          <w:lang w:val="en-US"/>
        </w:rPr>
        <w:t xml:space="preserve">Master’s </w:t>
      </w:r>
      <w:proofErr w:type="spellStart"/>
      <w:r>
        <w:rPr>
          <w:lang w:val="en-US"/>
        </w:rPr>
        <w:t>Programme</w:t>
      </w:r>
      <w:proofErr w:type="spellEnd"/>
      <w:r>
        <w:rPr>
          <w:lang w:val="en-US"/>
        </w:rPr>
        <w:t xml:space="preserve"> in Field Archaeology on Land and Under the Sea</w:t>
      </w:r>
      <w:r>
        <w:rPr>
          <w:sz w:val="22"/>
          <w:szCs w:val="22"/>
          <w:lang w:val="en-US"/>
        </w:rPr>
        <w:t xml:space="preserve">, </w:t>
      </w:r>
    </w:p>
    <w:p w14:paraId="45052155" w14:textId="77777777" w:rsidR="000B139B" w:rsidRDefault="00DB4960">
      <w:pPr>
        <w:pStyle w:val="Default"/>
      </w:pPr>
      <w:r>
        <w:rPr>
          <w:lang w:val="en-US"/>
        </w:rPr>
        <w:t xml:space="preserve">Department of History and Archaeology, </w:t>
      </w:r>
      <w:r>
        <w:rPr>
          <w:sz w:val="22"/>
          <w:szCs w:val="22"/>
          <w:lang w:val="en-US"/>
        </w:rPr>
        <w:t>University of Cyprus</w:t>
      </w:r>
    </w:p>
    <w:p w14:paraId="70DC8481" w14:textId="77777777" w:rsidR="000B139B" w:rsidRDefault="000B139B">
      <w:pPr>
        <w:pStyle w:val="Default"/>
        <w:rPr>
          <w:lang w:val="en-US"/>
        </w:rPr>
      </w:pPr>
    </w:p>
    <w:p w14:paraId="56D445C5" w14:textId="77777777" w:rsidR="000B139B" w:rsidRDefault="00DB4960">
      <w:pPr>
        <w:autoSpaceDE w:val="0"/>
        <w:spacing w:after="0"/>
        <w:rPr>
          <w:lang w:val="en-US"/>
        </w:rPr>
      </w:pPr>
      <w:r>
        <w:rPr>
          <w:lang w:val="en-US"/>
        </w:rPr>
        <w:t>Nicosia, January 2021</w:t>
      </w:r>
    </w:p>
    <w:p w14:paraId="2885689D" w14:textId="77777777" w:rsidR="000B139B" w:rsidRDefault="000B139B">
      <w:pPr>
        <w:autoSpaceDE w:val="0"/>
        <w:spacing w:after="0" w:line="360" w:lineRule="auto"/>
        <w:jc w:val="both"/>
        <w:rPr>
          <w:rFonts w:cs="Calibri"/>
          <w:sz w:val="24"/>
          <w:szCs w:val="24"/>
          <w:lang w:val="en-GB"/>
        </w:rPr>
      </w:pPr>
    </w:p>
    <w:p w14:paraId="210B24E8" w14:textId="77777777" w:rsidR="000B139B" w:rsidRDefault="00DB4960">
      <w:pPr>
        <w:pStyle w:val="ListParagraph"/>
        <w:numPr>
          <w:ilvl w:val="0"/>
          <w:numId w:val="1"/>
        </w:numPr>
        <w:autoSpaceDE w:val="0"/>
        <w:spacing w:after="0" w:line="360" w:lineRule="auto"/>
        <w:ind w:left="360"/>
        <w:jc w:val="both"/>
        <w:rPr>
          <w:rFonts w:cs="Calibri"/>
          <w:b/>
          <w:bCs/>
          <w:sz w:val="24"/>
          <w:szCs w:val="24"/>
          <w:lang w:val="en-US"/>
        </w:rPr>
      </w:pPr>
      <w:r>
        <w:rPr>
          <w:rFonts w:cs="Calibri"/>
          <w:b/>
          <w:bCs/>
          <w:sz w:val="24"/>
          <w:szCs w:val="24"/>
          <w:lang w:val="en-US"/>
        </w:rPr>
        <w:t>Introduction</w:t>
      </w:r>
    </w:p>
    <w:p w14:paraId="439391E7" w14:textId="77777777" w:rsidR="000B139B" w:rsidRDefault="00DB4960">
      <w:pPr>
        <w:autoSpaceDE w:val="0"/>
        <w:spacing w:after="0" w:line="360" w:lineRule="auto"/>
        <w:jc w:val="both"/>
      </w:pPr>
      <w:r>
        <w:rPr>
          <w:sz w:val="24"/>
          <w:szCs w:val="24"/>
          <w:lang w:val="en-GB"/>
        </w:rPr>
        <w:t>This thesis was an attempt to gain insights into the vernacular shipbuilding of the 19</w:t>
      </w:r>
      <w:r>
        <w:rPr>
          <w:sz w:val="24"/>
          <w:szCs w:val="24"/>
          <w:vertAlign w:val="superscript"/>
          <w:lang w:val="en-GB"/>
        </w:rPr>
        <w:t>th</w:t>
      </w:r>
      <w:r>
        <w:rPr>
          <w:sz w:val="24"/>
          <w:szCs w:val="24"/>
          <w:lang w:val="en-GB"/>
        </w:rPr>
        <w:t xml:space="preserve"> century </w:t>
      </w:r>
      <w:r>
        <w:rPr>
          <w:sz w:val="24"/>
          <w:szCs w:val="24"/>
          <w:lang w:val="en-US"/>
        </w:rPr>
        <w:t xml:space="preserve">in the eastern Mediterranean, </w:t>
      </w:r>
      <w:r>
        <w:rPr>
          <w:sz w:val="24"/>
          <w:szCs w:val="24"/>
          <w:lang w:val="en-GB"/>
        </w:rPr>
        <w:t xml:space="preserve">through the examination </w:t>
      </w:r>
      <w:r>
        <w:rPr>
          <w:rFonts w:cs="Calibri"/>
          <w:sz w:val="24"/>
          <w:szCs w:val="24"/>
          <w:lang w:val="en-US"/>
        </w:rPr>
        <w:t>of historical archival sources</w:t>
      </w:r>
      <w:r>
        <w:rPr>
          <w:sz w:val="24"/>
          <w:szCs w:val="24"/>
          <w:lang w:val="en-GB"/>
        </w:rPr>
        <w:t xml:space="preserve"> </w:t>
      </w:r>
      <w:r>
        <w:rPr>
          <w:sz w:val="24"/>
          <w:szCs w:val="24"/>
          <w:lang w:val="en-GB"/>
        </w:rPr>
        <w:t xml:space="preserve">concerning brigs. </w:t>
      </w:r>
    </w:p>
    <w:p w14:paraId="0F51188C" w14:textId="77777777" w:rsidR="000B139B" w:rsidRDefault="000B139B">
      <w:pPr>
        <w:autoSpaceDE w:val="0"/>
        <w:spacing w:after="0" w:line="360" w:lineRule="auto"/>
        <w:jc w:val="both"/>
        <w:rPr>
          <w:sz w:val="24"/>
          <w:szCs w:val="24"/>
          <w:lang w:val="en-GB"/>
        </w:rPr>
      </w:pPr>
    </w:p>
    <w:p w14:paraId="35276D3B" w14:textId="77777777" w:rsidR="000B139B" w:rsidRDefault="00DB4960">
      <w:pPr>
        <w:autoSpaceDE w:val="0"/>
        <w:spacing w:after="0" w:line="360" w:lineRule="auto"/>
        <w:jc w:val="both"/>
      </w:pPr>
      <w:r>
        <w:rPr>
          <w:rFonts w:cs="Calibri"/>
          <w:sz w:val="24"/>
          <w:szCs w:val="24"/>
          <w:lang w:val="en-US"/>
        </w:rPr>
        <w:t>D</w:t>
      </w:r>
      <w:proofErr w:type="spellStart"/>
      <w:r>
        <w:rPr>
          <w:rFonts w:cs="Calibri"/>
          <w:sz w:val="24"/>
          <w:szCs w:val="24"/>
          <w:lang w:val="en-GB"/>
        </w:rPr>
        <w:t>uring</w:t>
      </w:r>
      <w:proofErr w:type="spellEnd"/>
      <w:r>
        <w:rPr>
          <w:rFonts w:cs="Calibri"/>
          <w:sz w:val="24"/>
          <w:szCs w:val="24"/>
          <w:lang w:val="en-GB"/>
        </w:rPr>
        <w:t xml:space="preserve"> the 19</w:t>
      </w:r>
      <w:r>
        <w:rPr>
          <w:rFonts w:cs="Calibri"/>
          <w:sz w:val="24"/>
          <w:szCs w:val="24"/>
          <w:vertAlign w:val="superscript"/>
          <w:lang w:val="en-GB"/>
        </w:rPr>
        <w:t>th</w:t>
      </w:r>
      <w:r>
        <w:rPr>
          <w:rFonts w:cs="Calibri"/>
          <w:sz w:val="24"/>
          <w:szCs w:val="24"/>
          <w:lang w:val="en-GB"/>
        </w:rPr>
        <w:t xml:space="preserve"> century, maritime trade and shipping in the Mediterranean were organized through international merchant networks that concerned mainly bulk cargo transportation (</w:t>
      </w:r>
      <w:proofErr w:type="spellStart"/>
      <w:r>
        <w:rPr>
          <w:rFonts w:cs="Calibri"/>
          <w:sz w:val="24"/>
          <w:szCs w:val="24"/>
          <w:lang w:val="en-GB"/>
        </w:rPr>
        <w:t>Harlaftis</w:t>
      </w:r>
      <w:proofErr w:type="spellEnd"/>
      <w:r>
        <w:rPr>
          <w:rFonts w:cs="Calibri"/>
          <w:sz w:val="24"/>
          <w:szCs w:val="24"/>
          <w:lang w:val="en-GB"/>
        </w:rPr>
        <w:t xml:space="preserve"> 2001: 85 – 86)</w:t>
      </w:r>
      <w:r>
        <w:rPr>
          <w:rFonts w:cs="Calibri"/>
          <w:sz w:val="24"/>
          <w:szCs w:val="24"/>
          <w:lang w:val="en-US"/>
        </w:rPr>
        <w:t xml:space="preserve">.` </w:t>
      </w:r>
      <w:r>
        <w:rPr>
          <w:rFonts w:cs="Calibri"/>
          <w:sz w:val="24"/>
          <w:szCs w:val="24"/>
          <w:lang w:val="en-GB"/>
        </w:rPr>
        <w:t xml:space="preserve">The Aegean islands </w:t>
      </w:r>
      <w:r>
        <w:rPr>
          <w:rFonts w:cs="Calibri"/>
          <w:sz w:val="24"/>
          <w:szCs w:val="24"/>
          <w:lang w:val="en-GB"/>
        </w:rPr>
        <w:t>together with some mainland harbours were involved</w:t>
      </w:r>
      <w:r>
        <w:rPr>
          <w:rFonts w:cs="Calibri"/>
          <w:sz w:val="24"/>
          <w:szCs w:val="24"/>
          <w:lang w:val="en-US"/>
        </w:rPr>
        <w:t xml:space="preserve"> in these networks and</w:t>
      </w:r>
      <w:r>
        <w:rPr>
          <w:rFonts w:cs="Calibri"/>
          <w:sz w:val="24"/>
          <w:szCs w:val="24"/>
          <w:lang w:val="en-GB"/>
        </w:rPr>
        <w:t xml:space="preserve"> maintained their own shipyards.  The</w:t>
      </w:r>
      <w:r>
        <w:rPr>
          <w:rFonts w:cs="Calibri"/>
          <w:sz w:val="24"/>
          <w:szCs w:val="24"/>
          <w:lang w:val="en-US"/>
        </w:rPr>
        <w:t xml:space="preserve"> most active shipbuilding center of the Aegean </w:t>
      </w:r>
      <w:r>
        <w:rPr>
          <w:rFonts w:cs="Calibri"/>
          <w:sz w:val="24"/>
          <w:szCs w:val="24"/>
          <w:lang w:val="en-GB"/>
        </w:rPr>
        <w:t xml:space="preserve">was </w:t>
      </w:r>
      <w:proofErr w:type="spellStart"/>
      <w:r>
        <w:rPr>
          <w:rFonts w:cs="Calibri"/>
          <w:sz w:val="24"/>
          <w:szCs w:val="24"/>
          <w:lang w:val="en-GB"/>
        </w:rPr>
        <w:t>Ermoupolis</w:t>
      </w:r>
      <w:proofErr w:type="spellEnd"/>
      <w:r>
        <w:rPr>
          <w:rFonts w:cs="Calibri"/>
          <w:sz w:val="24"/>
          <w:szCs w:val="24"/>
          <w:lang w:val="en-GB"/>
        </w:rPr>
        <w:t xml:space="preserve">, the capital of the island of Syros, which </w:t>
      </w:r>
      <w:r>
        <w:rPr>
          <w:rFonts w:cs="Calibri"/>
          <w:sz w:val="24"/>
          <w:szCs w:val="24"/>
          <w:lang w:val="en-US"/>
        </w:rPr>
        <w:t xml:space="preserve">became an international maritime shipping </w:t>
      </w:r>
      <w:r>
        <w:rPr>
          <w:rFonts w:cs="Calibri"/>
          <w:sz w:val="24"/>
          <w:szCs w:val="24"/>
          <w:lang w:val="en-US"/>
        </w:rPr>
        <w:t>center after the Greek revolution of 1821 (Delis 2010: 344).</w:t>
      </w:r>
      <w:r>
        <w:rPr>
          <w:rFonts w:cs="Calibri"/>
          <w:sz w:val="24"/>
          <w:szCs w:val="24"/>
          <w:lang w:val="en-GB"/>
        </w:rPr>
        <w:t xml:space="preserve"> Brigs were the predominant ship type constructed in </w:t>
      </w:r>
      <w:proofErr w:type="spellStart"/>
      <w:r>
        <w:rPr>
          <w:rFonts w:cs="Calibri"/>
          <w:sz w:val="24"/>
          <w:szCs w:val="24"/>
          <w:lang w:val="en-GB"/>
        </w:rPr>
        <w:t>Ermoupolis</w:t>
      </w:r>
      <w:proofErr w:type="spellEnd"/>
      <w:r>
        <w:rPr>
          <w:rFonts w:cs="Calibri"/>
          <w:sz w:val="24"/>
          <w:szCs w:val="24"/>
          <w:lang w:val="en-GB"/>
        </w:rPr>
        <w:t xml:space="preserve"> shipyards and consisted the main ship type of the Greek-owned merchant fleet. Therefore, it became the focus of this study. </w:t>
      </w:r>
    </w:p>
    <w:p w14:paraId="44963704" w14:textId="77777777" w:rsidR="000B139B" w:rsidRDefault="000B139B">
      <w:pPr>
        <w:autoSpaceDE w:val="0"/>
        <w:spacing w:after="0" w:line="360" w:lineRule="auto"/>
        <w:jc w:val="both"/>
        <w:rPr>
          <w:rFonts w:cs="Calibri"/>
          <w:sz w:val="24"/>
          <w:szCs w:val="24"/>
          <w:lang w:val="en-US"/>
        </w:rPr>
      </w:pPr>
    </w:p>
    <w:p w14:paraId="51C97256" w14:textId="77777777" w:rsidR="000B139B" w:rsidRDefault="00DB4960">
      <w:pPr>
        <w:spacing w:after="200" w:line="360" w:lineRule="auto"/>
        <w:jc w:val="both"/>
      </w:pPr>
      <w:r>
        <w:rPr>
          <w:sz w:val="24"/>
          <w:szCs w:val="24"/>
          <w:lang w:val="en-GB"/>
        </w:rPr>
        <w:t>Histor</w:t>
      </w:r>
      <w:r>
        <w:rPr>
          <w:sz w:val="24"/>
          <w:szCs w:val="24"/>
          <w:lang w:val="en-GB"/>
        </w:rPr>
        <w:t xml:space="preserve">ical and archaeological literature provides important information about shipbuilding, and brigs construction in particular, during that era. </w:t>
      </w:r>
      <w:r>
        <w:rPr>
          <w:rFonts w:cs="Calibri"/>
          <w:sz w:val="24"/>
          <w:szCs w:val="24"/>
          <w:lang w:val="en-GB"/>
        </w:rPr>
        <w:t xml:space="preserve">Illustrations of brigs on paintings </w:t>
      </w:r>
      <w:r>
        <w:rPr>
          <w:rFonts w:cs="Calibri"/>
          <w:sz w:val="24"/>
          <w:szCs w:val="24"/>
          <w:lang w:val="en-US"/>
        </w:rPr>
        <w:t xml:space="preserve">are common, but </w:t>
      </w:r>
      <w:r>
        <w:rPr>
          <w:rFonts w:cs="Calibri"/>
          <w:iCs/>
          <w:sz w:val="24"/>
          <w:szCs w:val="24"/>
          <w:lang w:val="en-US"/>
        </w:rPr>
        <w:t xml:space="preserve">material evidence of them is limited to ships’ figureheads and </w:t>
      </w:r>
      <w:r>
        <w:rPr>
          <w:rFonts w:cs="Calibri"/>
          <w:iCs/>
          <w:sz w:val="24"/>
          <w:szCs w:val="24"/>
          <w:lang w:val="en-US"/>
        </w:rPr>
        <w:t>other sporadic parts exhibited in museums</w:t>
      </w:r>
      <w:r>
        <w:rPr>
          <w:rFonts w:cs="Calibri"/>
          <w:sz w:val="24"/>
          <w:szCs w:val="24"/>
          <w:lang w:val="en-US"/>
        </w:rPr>
        <w:t xml:space="preserve">. </w:t>
      </w:r>
      <w:r>
        <w:rPr>
          <w:rFonts w:cs="Calibri"/>
          <w:sz w:val="24"/>
          <w:szCs w:val="24"/>
          <w:lang w:val="en-GB"/>
        </w:rPr>
        <w:t xml:space="preserve">The rarity of excavated shipwrecks adds to the lack of plans and other </w:t>
      </w:r>
      <w:r>
        <w:rPr>
          <w:rFonts w:cs="Calibri"/>
          <w:sz w:val="24"/>
          <w:szCs w:val="24"/>
          <w:lang w:val="en-US"/>
        </w:rPr>
        <w:t xml:space="preserve">visual representation </w:t>
      </w:r>
      <w:r>
        <w:rPr>
          <w:rFonts w:cs="Calibri"/>
          <w:sz w:val="24"/>
          <w:szCs w:val="24"/>
          <w:lang w:val="en-GB"/>
        </w:rPr>
        <w:t>of brigs constructed in the Aegean, which have resulted in many gaps in knowledge of this key type of ship.</w:t>
      </w:r>
      <w:r>
        <w:rPr>
          <w:rFonts w:cs="Calibri"/>
          <w:color w:val="0070C0"/>
          <w:sz w:val="24"/>
          <w:szCs w:val="24"/>
          <w:lang w:val="en-GB"/>
        </w:rPr>
        <w:t xml:space="preserve"> </w:t>
      </w:r>
    </w:p>
    <w:p w14:paraId="38343DEF" w14:textId="77777777" w:rsidR="000B139B" w:rsidRDefault="00DB4960">
      <w:pPr>
        <w:autoSpaceDE w:val="0"/>
        <w:spacing w:after="0" w:line="360" w:lineRule="auto"/>
        <w:jc w:val="both"/>
        <w:rPr>
          <w:rFonts w:cs="Calibri"/>
          <w:sz w:val="24"/>
          <w:szCs w:val="24"/>
          <w:lang w:val="en-GB"/>
        </w:rPr>
      </w:pPr>
      <w:r>
        <w:rPr>
          <w:rFonts w:cs="Calibri"/>
          <w:sz w:val="24"/>
          <w:szCs w:val="24"/>
          <w:lang w:val="en-GB"/>
        </w:rPr>
        <w:t>Given all t</w:t>
      </w:r>
      <w:r>
        <w:rPr>
          <w:rFonts w:cs="Calibri"/>
          <w:sz w:val="24"/>
          <w:szCs w:val="24"/>
          <w:lang w:val="en-GB"/>
        </w:rPr>
        <w:t xml:space="preserve">he above, the main goal of this research was a technical analysis of shipbuilding contracts for brigs, built between 1832 to 1857 in </w:t>
      </w:r>
      <w:proofErr w:type="spellStart"/>
      <w:r>
        <w:rPr>
          <w:rFonts w:cs="Calibri"/>
          <w:sz w:val="24"/>
          <w:szCs w:val="24"/>
          <w:lang w:val="en-GB"/>
        </w:rPr>
        <w:t>Ermoupoli’s</w:t>
      </w:r>
      <w:proofErr w:type="spellEnd"/>
      <w:r>
        <w:rPr>
          <w:rFonts w:cs="Calibri"/>
          <w:sz w:val="24"/>
          <w:szCs w:val="24"/>
          <w:lang w:val="en-GB"/>
        </w:rPr>
        <w:t xml:space="preserve"> shipyards. </w:t>
      </w:r>
      <w:r>
        <w:rPr>
          <w:rFonts w:cs="Calibri"/>
          <w:sz w:val="24"/>
          <w:szCs w:val="24"/>
          <w:lang w:val="en-GB"/>
        </w:rPr>
        <w:lastRenderedPageBreak/>
        <w:t>To this end, digital visualisation was used to gain meaningful knowledge about the brigs’ architectu</w:t>
      </w:r>
      <w:r>
        <w:rPr>
          <w:rFonts w:cs="Calibri"/>
          <w:sz w:val="24"/>
          <w:szCs w:val="24"/>
          <w:lang w:val="en-GB"/>
        </w:rPr>
        <w:t xml:space="preserve">ral system. </w:t>
      </w:r>
    </w:p>
    <w:p w14:paraId="4738DADB" w14:textId="77777777" w:rsidR="000B139B" w:rsidRDefault="00DB4960">
      <w:pPr>
        <w:autoSpaceDE w:val="0"/>
        <w:spacing w:after="0" w:line="360" w:lineRule="auto"/>
        <w:jc w:val="both"/>
      </w:pPr>
      <w:r>
        <w:rPr>
          <w:rFonts w:cs="Calibri"/>
          <w:sz w:val="24"/>
          <w:szCs w:val="24"/>
          <w:lang w:val="en-GB"/>
        </w:rPr>
        <w:t>The main objectives</w:t>
      </w:r>
      <w:r>
        <w:rPr>
          <w:rFonts w:cs="Calibri"/>
          <w:sz w:val="24"/>
          <w:szCs w:val="24"/>
          <w:lang w:val="en-US"/>
        </w:rPr>
        <w:t xml:space="preserve"> can be summarized as follows:</w:t>
      </w:r>
    </w:p>
    <w:p w14:paraId="6B30E603" w14:textId="77777777" w:rsidR="000B139B" w:rsidRDefault="00DB4960">
      <w:pPr>
        <w:pStyle w:val="NoSpacing"/>
        <w:numPr>
          <w:ilvl w:val="0"/>
          <w:numId w:val="2"/>
        </w:numPr>
        <w:spacing w:line="360" w:lineRule="auto"/>
        <w:jc w:val="both"/>
        <w:textAlignment w:val="auto"/>
      </w:pPr>
      <w:r>
        <w:rPr>
          <w:rFonts w:ascii="Calibri" w:hAnsi="Calibri" w:cs="Calibri"/>
          <w:color w:val="auto"/>
          <w:szCs w:val="24"/>
          <w:lang w:val="en-GB"/>
        </w:rPr>
        <w:t>Analysis of nine shipbuilding contracts of brigs.</w:t>
      </w:r>
    </w:p>
    <w:p w14:paraId="4DF4F4DB" w14:textId="77777777" w:rsidR="000B139B" w:rsidRDefault="00DB4960">
      <w:pPr>
        <w:pStyle w:val="NoSpacing"/>
        <w:numPr>
          <w:ilvl w:val="0"/>
          <w:numId w:val="2"/>
        </w:numPr>
        <w:spacing w:line="360" w:lineRule="auto"/>
        <w:jc w:val="both"/>
        <w:textAlignment w:val="auto"/>
        <w:rPr>
          <w:rFonts w:ascii="Calibri" w:hAnsi="Calibri" w:cs="Calibri"/>
          <w:color w:val="auto"/>
          <w:szCs w:val="24"/>
          <w:lang w:val="en-GB"/>
        </w:rPr>
      </w:pPr>
      <w:r>
        <w:rPr>
          <w:rFonts w:ascii="Calibri" w:hAnsi="Calibri" w:cs="Calibri"/>
          <w:color w:val="auto"/>
          <w:szCs w:val="24"/>
          <w:lang w:val="en-GB"/>
        </w:rPr>
        <w:t>Digital documentation of a brig model.</w:t>
      </w:r>
    </w:p>
    <w:p w14:paraId="49624176" w14:textId="77777777" w:rsidR="000B139B" w:rsidRDefault="00DB4960">
      <w:pPr>
        <w:pStyle w:val="NoSpacing"/>
        <w:numPr>
          <w:ilvl w:val="0"/>
          <w:numId w:val="2"/>
        </w:numPr>
        <w:spacing w:line="360" w:lineRule="auto"/>
        <w:jc w:val="both"/>
        <w:textAlignment w:val="auto"/>
      </w:pPr>
      <w:r>
        <w:rPr>
          <w:rFonts w:ascii="Calibri" w:hAnsi="Calibri" w:cs="Calibri"/>
          <w:color w:val="auto"/>
          <w:szCs w:val="24"/>
          <w:lang w:val="en-GB"/>
        </w:rPr>
        <w:t>Digital partial reconstruction of the nine brigs under study.</w:t>
      </w:r>
    </w:p>
    <w:p w14:paraId="597625C8" w14:textId="77777777" w:rsidR="000B139B" w:rsidRDefault="000B139B">
      <w:pPr>
        <w:autoSpaceDE w:val="0"/>
        <w:spacing w:after="0" w:line="360" w:lineRule="auto"/>
        <w:jc w:val="both"/>
        <w:rPr>
          <w:rFonts w:cs="Calibri"/>
          <w:color w:val="0070C0"/>
          <w:sz w:val="24"/>
          <w:szCs w:val="24"/>
          <w:lang w:val="en-US"/>
        </w:rPr>
      </w:pPr>
      <w:bookmarkStart w:id="0" w:name="_Toc59908938"/>
    </w:p>
    <w:bookmarkEnd w:id="0"/>
    <w:p w14:paraId="2494424C" w14:textId="77777777" w:rsidR="000B139B" w:rsidRDefault="00DB4960">
      <w:pPr>
        <w:pStyle w:val="ListParagraph"/>
        <w:numPr>
          <w:ilvl w:val="0"/>
          <w:numId w:val="1"/>
        </w:numPr>
        <w:spacing w:line="360" w:lineRule="auto"/>
        <w:ind w:left="360"/>
        <w:jc w:val="both"/>
        <w:rPr>
          <w:rFonts w:cs="Calibri"/>
          <w:b/>
          <w:bCs/>
          <w:sz w:val="24"/>
          <w:szCs w:val="24"/>
          <w:lang w:val="en-US"/>
        </w:rPr>
      </w:pPr>
      <w:r>
        <w:rPr>
          <w:rFonts w:cs="Calibri"/>
          <w:b/>
          <w:bCs/>
          <w:sz w:val="24"/>
          <w:szCs w:val="24"/>
          <w:lang w:val="en-US"/>
        </w:rPr>
        <w:t>Methodology</w:t>
      </w:r>
    </w:p>
    <w:p w14:paraId="66C032E0" w14:textId="77777777" w:rsidR="000B139B" w:rsidRDefault="00DB4960">
      <w:pPr>
        <w:autoSpaceDE w:val="0"/>
        <w:spacing w:after="0" w:line="360" w:lineRule="auto"/>
        <w:jc w:val="both"/>
      </w:pPr>
      <w:r>
        <w:rPr>
          <w:rFonts w:cs="Calibri"/>
          <w:sz w:val="24"/>
          <w:szCs w:val="24"/>
          <w:lang w:val="en-US"/>
        </w:rPr>
        <w:t xml:space="preserve">To understand and </w:t>
      </w:r>
      <w:r>
        <w:rPr>
          <w:rFonts w:cs="Calibri"/>
          <w:sz w:val="24"/>
          <w:szCs w:val="24"/>
          <w:lang w:val="en-US"/>
        </w:rPr>
        <w:t xml:space="preserve">recognize the information recovered from archival sources, it was first necessary to </w:t>
      </w:r>
      <w:r>
        <w:rPr>
          <w:lang w:val="en-US"/>
        </w:rPr>
        <w:t>e</w:t>
      </w:r>
      <w:r>
        <w:rPr>
          <w:rFonts w:cs="Calibri"/>
          <w:sz w:val="24"/>
          <w:szCs w:val="24"/>
          <w:lang w:val="en-US"/>
        </w:rPr>
        <w:t>xamine data derived from previous research about 1) maritime trade, 2) shipbuilding, and 3) brigs during the 19</w:t>
      </w:r>
      <w:r>
        <w:rPr>
          <w:rFonts w:cs="Calibri"/>
          <w:sz w:val="24"/>
          <w:szCs w:val="24"/>
          <w:vertAlign w:val="superscript"/>
          <w:lang w:val="en-US"/>
        </w:rPr>
        <w:t>th</w:t>
      </w:r>
      <w:r>
        <w:rPr>
          <w:rFonts w:cs="Calibri"/>
          <w:sz w:val="24"/>
          <w:szCs w:val="24"/>
          <w:lang w:val="en-US"/>
        </w:rPr>
        <w:t xml:space="preserve"> century. The next step was to tabularize all the valuabl</w:t>
      </w:r>
      <w:r>
        <w:rPr>
          <w:rFonts w:cs="Calibri"/>
          <w:sz w:val="24"/>
          <w:szCs w:val="24"/>
          <w:lang w:val="en-US"/>
        </w:rPr>
        <w:t>e retrieved data from shipbuilding contracts concerning brigs’ components’ measurements or positioning. During the process of graphical and mathematical analysis that followed, a challenge was faced related to the shipwrights’ terminology, some writing mis</w:t>
      </w:r>
      <w:r>
        <w:rPr>
          <w:rFonts w:cs="Calibri"/>
          <w:sz w:val="24"/>
          <w:szCs w:val="24"/>
          <w:lang w:val="en-US"/>
        </w:rPr>
        <w:t xml:space="preserve">takes and the shipwrights’ own expressions.  Since brigs’ plans of the Aegean region were nonexistent, for the brigs’ components reconstruction I have decided to use the hull lines of a famous in Greek history brig, ARIS (1818), through the </w:t>
      </w:r>
      <w:proofErr w:type="spellStart"/>
      <w:r>
        <w:rPr>
          <w:rFonts w:cs="Calibri"/>
          <w:sz w:val="24"/>
          <w:szCs w:val="24"/>
          <w:lang w:val="en-US"/>
        </w:rPr>
        <w:t>photogrammetric</w:t>
      </w:r>
      <w:r>
        <w:rPr>
          <w:rFonts w:cs="Calibri"/>
          <w:sz w:val="24"/>
          <w:szCs w:val="24"/>
          <w:lang w:val="en-US"/>
        </w:rPr>
        <w:t>al</w:t>
      </w:r>
      <w:proofErr w:type="spellEnd"/>
      <w:r>
        <w:rPr>
          <w:rFonts w:cs="Calibri"/>
          <w:sz w:val="24"/>
          <w:szCs w:val="24"/>
          <w:lang w:val="en-US"/>
        </w:rPr>
        <w:t xml:space="preserve"> recording of its ship model, (Konstantinidis 1954; </w:t>
      </w:r>
      <w:proofErr w:type="spellStart"/>
      <w:r>
        <w:rPr>
          <w:rFonts w:cs="Calibri"/>
          <w:sz w:val="24"/>
          <w:szCs w:val="24"/>
          <w:lang w:val="en-US"/>
        </w:rPr>
        <w:t>Adamopoulou</w:t>
      </w:r>
      <w:proofErr w:type="spellEnd"/>
      <w:r>
        <w:rPr>
          <w:rFonts w:cs="Calibri"/>
          <w:sz w:val="24"/>
          <w:szCs w:val="24"/>
          <w:lang w:val="en-US"/>
        </w:rPr>
        <w:t xml:space="preserve"> 2014; Nikolaou 2014). These hull lines </w:t>
      </w:r>
      <w:r>
        <w:rPr>
          <w:rFonts w:eastAsia="Times New Roman" w:cs="Calibri"/>
          <w:color w:val="0E101A"/>
          <w:sz w:val="24"/>
          <w:szCs w:val="24"/>
          <w:lang w:val="en-US" w:eastAsia="el-GR"/>
        </w:rPr>
        <w:t>were used as the reference point for the reconstruction of all the examined ships' data under study.</w:t>
      </w:r>
      <w:r>
        <w:rPr>
          <w:rFonts w:cs="Calibri"/>
          <w:color w:val="FF0000"/>
          <w:sz w:val="24"/>
          <w:szCs w:val="24"/>
          <w:lang w:val="en-US"/>
        </w:rPr>
        <w:t xml:space="preserve"> </w:t>
      </w:r>
    </w:p>
    <w:p w14:paraId="766CB056" w14:textId="77777777" w:rsidR="000B139B" w:rsidRDefault="000B139B">
      <w:pPr>
        <w:autoSpaceDE w:val="0"/>
        <w:spacing w:after="0" w:line="360" w:lineRule="auto"/>
        <w:jc w:val="both"/>
        <w:rPr>
          <w:rFonts w:cs="Calibri"/>
          <w:color w:val="FF0000"/>
          <w:sz w:val="24"/>
          <w:szCs w:val="24"/>
          <w:lang w:val="en-US"/>
        </w:rPr>
      </w:pPr>
    </w:p>
    <w:p w14:paraId="42B5C1D6" w14:textId="77777777" w:rsidR="000B139B" w:rsidRDefault="00DB4960">
      <w:pPr>
        <w:pStyle w:val="ListParagraph"/>
        <w:numPr>
          <w:ilvl w:val="0"/>
          <w:numId w:val="1"/>
        </w:numPr>
        <w:spacing w:line="360" w:lineRule="auto"/>
        <w:ind w:left="360"/>
        <w:jc w:val="both"/>
      </w:pPr>
      <w:bookmarkStart w:id="1" w:name="_Toc59908950"/>
      <w:r>
        <w:rPr>
          <w:rFonts w:cs="Calibri"/>
          <w:b/>
          <w:bCs/>
          <w:sz w:val="24"/>
          <w:szCs w:val="24"/>
          <w:lang w:val="en-US"/>
        </w:rPr>
        <w:t>Brigs of the Eastern Mediterranean</w:t>
      </w:r>
      <w:bookmarkEnd w:id="1"/>
    </w:p>
    <w:p w14:paraId="51DA0C7A" w14:textId="77777777" w:rsidR="000B139B" w:rsidRDefault="00DB4960">
      <w:pPr>
        <w:tabs>
          <w:tab w:val="left" w:pos="810"/>
        </w:tabs>
        <w:spacing w:line="360" w:lineRule="auto"/>
        <w:jc w:val="both"/>
      </w:pPr>
      <w:r>
        <w:rPr>
          <w:rFonts w:cs="Calibri"/>
          <w:sz w:val="24"/>
          <w:szCs w:val="24"/>
          <w:lang w:val="en-US"/>
        </w:rPr>
        <w:t xml:space="preserve">Brigs </w:t>
      </w:r>
      <w:r>
        <w:rPr>
          <w:rFonts w:cs="Calibri"/>
          <w:sz w:val="24"/>
          <w:szCs w:val="24"/>
          <w:lang w:val="en-GB"/>
        </w:rPr>
        <w:t>were ch</w:t>
      </w:r>
      <w:r>
        <w:rPr>
          <w:rFonts w:cs="Calibri"/>
          <w:sz w:val="24"/>
          <w:szCs w:val="24"/>
          <w:lang w:val="en-GB"/>
        </w:rPr>
        <w:t>aracterized by their rigging type. They</w:t>
      </w:r>
      <w:r>
        <w:rPr>
          <w:rFonts w:cs="Calibri"/>
          <w:sz w:val="24"/>
          <w:szCs w:val="24"/>
          <w:lang w:val="en-US"/>
        </w:rPr>
        <w:t xml:space="preserve"> were merchantmen with two masts and square sails, </w:t>
      </w:r>
      <w:r>
        <w:rPr>
          <w:rFonts w:cs="Calibri"/>
          <w:sz w:val="24"/>
          <w:szCs w:val="24"/>
          <w:lang w:val="en-GB"/>
        </w:rPr>
        <w:t>influenced from North-European shipbuilding traditions</w:t>
      </w:r>
      <w:r>
        <w:rPr>
          <w:rFonts w:cs="Calibri"/>
          <w:color w:val="FF0000"/>
          <w:sz w:val="24"/>
          <w:szCs w:val="24"/>
          <w:lang w:val="en-GB"/>
        </w:rPr>
        <w:t xml:space="preserve">. </w:t>
      </w:r>
      <w:r>
        <w:rPr>
          <w:rFonts w:cs="Calibri"/>
          <w:sz w:val="24"/>
          <w:szCs w:val="24"/>
          <w:lang w:val="en-US"/>
        </w:rPr>
        <w:t>Paintings of showed that their sails’ number changed throughout the 19</w:t>
      </w:r>
      <w:r>
        <w:rPr>
          <w:rFonts w:cs="Calibri"/>
          <w:sz w:val="24"/>
          <w:szCs w:val="24"/>
          <w:vertAlign w:val="superscript"/>
          <w:lang w:val="en-US"/>
        </w:rPr>
        <w:t>th</w:t>
      </w:r>
      <w:r>
        <w:rPr>
          <w:rFonts w:cs="Calibri"/>
          <w:sz w:val="24"/>
          <w:szCs w:val="24"/>
          <w:lang w:val="en-US"/>
        </w:rPr>
        <w:t xml:space="preserve"> century, varying from three to </w:t>
      </w:r>
      <w:r>
        <w:rPr>
          <w:rFonts w:cs="Calibri"/>
          <w:sz w:val="24"/>
          <w:szCs w:val="24"/>
          <w:lang w:val="en-US"/>
        </w:rPr>
        <w:t>five, while the predominant number was four on each mast.</w:t>
      </w:r>
    </w:p>
    <w:p w14:paraId="351D8714" w14:textId="77777777" w:rsidR="000B139B" w:rsidRDefault="00DB4960">
      <w:pPr>
        <w:tabs>
          <w:tab w:val="left" w:pos="810"/>
        </w:tabs>
        <w:spacing w:line="360" w:lineRule="auto"/>
        <w:jc w:val="both"/>
      </w:pPr>
      <w:r>
        <w:rPr>
          <w:rFonts w:cs="Calibri"/>
          <w:sz w:val="24"/>
          <w:szCs w:val="24"/>
          <w:lang w:val="en-US"/>
        </w:rPr>
        <w:t>Brigs’ rigging could be applied in several hull types. During the first half of the 19</w:t>
      </w:r>
      <w:r>
        <w:rPr>
          <w:rFonts w:cs="Calibri"/>
          <w:sz w:val="24"/>
          <w:szCs w:val="24"/>
          <w:vertAlign w:val="superscript"/>
          <w:lang w:val="en-US"/>
        </w:rPr>
        <w:t>th</w:t>
      </w:r>
      <w:r>
        <w:rPr>
          <w:rFonts w:cs="Calibri"/>
          <w:sz w:val="24"/>
          <w:szCs w:val="24"/>
          <w:lang w:val="en-US"/>
        </w:rPr>
        <w:t xml:space="preserve"> century, the most  </w:t>
      </w:r>
      <w:r>
        <w:rPr>
          <w:rFonts w:cs="Calibri"/>
          <w:sz w:val="24"/>
          <w:szCs w:val="24"/>
          <w:lang w:val="en-GB"/>
        </w:rPr>
        <w:t>frequently attested in Greek paintings were depicted with inclined transom. This type of h</w:t>
      </w:r>
      <w:r>
        <w:rPr>
          <w:rFonts w:cs="Calibri"/>
          <w:sz w:val="24"/>
          <w:szCs w:val="24"/>
          <w:lang w:val="en-GB"/>
        </w:rPr>
        <w:t>ull did not survive during the second half of the 19</w:t>
      </w:r>
      <w:r>
        <w:rPr>
          <w:rFonts w:cs="Calibri"/>
          <w:sz w:val="24"/>
          <w:szCs w:val="24"/>
          <w:vertAlign w:val="superscript"/>
          <w:lang w:val="en-GB"/>
        </w:rPr>
        <w:t>th</w:t>
      </w:r>
      <w:r>
        <w:rPr>
          <w:rFonts w:cs="Calibri"/>
          <w:sz w:val="24"/>
          <w:szCs w:val="24"/>
          <w:lang w:val="en-GB"/>
        </w:rPr>
        <w:t xml:space="preserve"> century </w:t>
      </w:r>
      <w:r>
        <w:rPr>
          <w:rFonts w:cs="Calibri"/>
          <w:sz w:val="24"/>
          <w:szCs w:val="24"/>
          <w:lang w:val="en-GB"/>
        </w:rPr>
        <w:lastRenderedPageBreak/>
        <w:t>and its name remains unknown (</w:t>
      </w:r>
      <w:proofErr w:type="spellStart"/>
      <w:r>
        <w:rPr>
          <w:rFonts w:cs="Calibri"/>
          <w:sz w:val="24"/>
          <w:szCs w:val="24"/>
          <w:lang w:val="en-GB"/>
        </w:rPr>
        <w:t>Damianidis</w:t>
      </w:r>
      <w:proofErr w:type="spellEnd"/>
      <w:r>
        <w:rPr>
          <w:rFonts w:cs="Calibri"/>
          <w:sz w:val="24"/>
          <w:szCs w:val="24"/>
          <w:lang w:val="en-GB"/>
        </w:rPr>
        <w:t xml:space="preserve"> 2014: 329 – 330) (</w:t>
      </w:r>
      <w:r>
        <w:rPr>
          <w:rFonts w:cs="Calibri"/>
          <w:b/>
          <w:bCs/>
          <w:sz w:val="24"/>
          <w:szCs w:val="24"/>
          <w:lang w:val="en-GB"/>
        </w:rPr>
        <w:t>Fig. 1</w:t>
      </w:r>
      <w:r>
        <w:rPr>
          <w:rFonts w:cs="Calibri"/>
          <w:sz w:val="24"/>
          <w:szCs w:val="24"/>
          <w:lang w:val="en-GB"/>
        </w:rPr>
        <w:t>)</w:t>
      </w:r>
      <w:r>
        <w:rPr>
          <w:rFonts w:cs="Calibri"/>
          <w:sz w:val="24"/>
          <w:szCs w:val="24"/>
          <w:lang w:val="en-US"/>
        </w:rPr>
        <w:t xml:space="preserve">. </w:t>
      </w:r>
      <w:r>
        <w:rPr>
          <w:rFonts w:cs="Calibri"/>
          <w:sz w:val="24"/>
          <w:szCs w:val="24"/>
          <w:lang w:val="en-GB"/>
        </w:rPr>
        <w:t xml:space="preserve">It </w:t>
      </w:r>
      <w:r>
        <w:rPr>
          <w:noProof/>
        </w:rPr>
        <w:drawing>
          <wp:anchor distT="0" distB="0" distL="114300" distR="114300" simplePos="0" relativeHeight="251659264" behindDoc="0" locked="0" layoutInCell="1" allowOverlap="1" wp14:anchorId="0AFBEB0D" wp14:editId="7D75032C">
            <wp:simplePos x="0" y="0"/>
            <wp:positionH relativeFrom="margin">
              <wp:align>center</wp:align>
            </wp:positionH>
            <wp:positionV relativeFrom="page">
              <wp:posOffset>1727201</wp:posOffset>
            </wp:positionV>
            <wp:extent cx="5193663" cy="3502023"/>
            <wp:effectExtent l="0" t="0" r="637" b="3177"/>
            <wp:wrapTight wrapText="bothSides">
              <wp:wrapPolygon edited="0">
                <wp:start x="0" y="0"/>
                <wp:lineTo x="0" y="21545"/>
                <wp:lineTo x="21552" y="21545"/>
                <wp:lineTo x="21552" y="0"/>
                <wp:lineTo x="0" y="0"/>
              </wp:wrapPolygon>
            </wp:wrapTight>
            <wp:docPr id="1" name="Picture 14" descr="A picture containing water, transport, boat, watercraf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193663" cy="3502023"/>
                    </a:xfrm>
                    <a:prstGeom prst="rect">
                      <a:avLst/>
                    </a:prstGeom>
                    <a:noFill/>
                    <a:ln>
                      <a:noFill/>
                      <a:prstDash/>
                    </a:ln>
                  </pic:spPr>
                </pic:pic>
              </a:graphicData>
            </a:graphic>
          </wp:anchor>
        </w:drawing>
      </w:r>
      <w:r>
        <w:rPr>
          <w:rFonts w:cs="Calibri"/>
          <w:sz w:val="24"/>
          <w:szCs w:val="24"/>
          <w:lang w:val="en-GB"/>
        </w:rPr>
        <w:t>resembled  the ‘</w:t>
      </w:r>
      <w:proofErr w:type="spellStart"/>
      <w:r>
        <w:rPr>
          <w:rFonts w:cs="Calibri"/>
          <w:i/>
          <w:iCs/>
          <w:sz w:val="24"/>
          <w:szCs w:val="24"/>
          <w:lang w:val="en-GB"/>
        </w:rPr>
        <w:t>Karavoskaro</w:t>
      </w:r>
      <w:proofErr w:type="spellEnd"/>
      <w:r>
        <w:rPr>
          <w:rFonts w:cs="Calibri"/>
          <w:i/>
          <w:iCs/>
          <w:sz w:val="24"/>
          <w:szCs w:val="24"/>
          <w:lang w:val="en-GB"/>
        </w:rPr>
        <w:t>’</w:t>
      </w:r>
      <w:r>
        <w:rPr>
          <w:rFonts w:cs="Calibri"/>
          <w:sz w:val="24"/>
          <w:szCs w:val="24"/>
          <w:lang w:val="en-GB"/>
        </w:rPr>
        <w:t xml:space="preserve"> (</w:t>
      </w:r>
      <w:r>
        <w:rPr>
          <w:rFonts w:cs="Calibri"/>
          <w:i/>
          <w:iCs/>
          <w:sz w:val="24"/>
          <w:szCs w:val="24"/>
          <w:lang w:val="en-GB"/>
        </w:rPr>
        <w:t>Kαραβ</w:t>
      </w:r>
      <w:proofErr w:type="spellStart"/>
      <w:r>
        <w:rPr>
          <w:rFonts w:cs="Calibri"/>
          <w:i/>
          <w:iCs/>
          <w:sz w:val="24"/>
          <w:szCs w:val="24"/>
          <w:lang w:val="en-GB"/>
        </w:rPr>
        <w:t>όσκ</w:t>
      </w:r>
      <w:proofErr w:type="spellEnd"/>
      <w:r>
        <w:rPr>
          <w:rFonts w:cs="Calibri"/>
          <w:i/>
          <w:iCs/>
          <w:sz w:val="24"/>
          <w:szCs w:val="24"/>
          <w:lang w:val="en-GB"/>
        </w:rPr>
        <w:t>α</w:t>
      </w:r>
      <w:proofErr w:type="spellStart"/>
      <w:r>
        <w:rPr>
          <w:rFonts w:cs="Calibri"/>
          <w:i/>
          <w:iCs/>
          <w:sz w:val="24"/>
          <w:szCs w:val="24"/>
          <w:lang w:val="en-GB"/>
        </w:rPr>
        <w:t>ρo</w:t>
      </w:r>
      <w:proofErr w:type="spellEnd"/>
      <w:r>
        <w:rPr>
          <w:rFonts w:cs="Calibri"/>
          <w:i/>
          <w:iCs/>
          <w:sz w:val="24"/>
          <w:szCs w:val="24"/>
          <w:lang w:val="en-GB"/>
        </w:rPr>
        <w:t xml:space="preserve"> </w:t>
      </w:r>
      <w:r>
        <w:rPr>
          <w:rFonts w:cs="Calibri"/>
          <w:sz w:val="24"/>
          <w:szCs w:val="24"/>
          <w:lang w:val="en-GB"/>
        </w:rPr>
        <w:t>in Greek), a type with counter stern.</w:t>
      </w:r>
    </w:p>
    <w:p w14:paraId="48D3CD2D" w14:textId="77777777" w:rsidR="000B139B" w:rsidRDefault="00DB4960">
      <w:pPr>
        <w:autoSpaceDE w:val="0"/>
        <w:spacing w:after="0" w:line="276" w:lineRule="auto"/>
      </w:pPr>
      <w:r>
        <w:rPr>
          <w:rFonts w:cs="Calibri"/>
          <w:b/>
          <w:bCs/>
          <w:sz w:val="20"/>
          <w:szCs w:val="20"/>
          <w:lang w:val="en-GB"/>
        </w:rPr>
        <w:t>Figure 1</w:t>
      </w:r>
      <w:r>
        <w:rPr>
          <w:rFonts w:cs="Calibri"/>
          <w:sz w:val="20"/>
          <w:szCs w:val="20"/>
          <w:lang w:val="en-GB"/>
        </w:rPr>
        <w:t>: The brig LEONIDAS whose hull re</w:t>
      </w:r>
      <w:r>
        <w:rPr>
          <w:rFonts w:cs="Calibri"/>
          <w:sz w:val="20"/>
          <w:szCs w:val="20"/>
          <w:lang w:val="en-GB"/>
        </w:rPr>
        <w:t xml:space="preserve">presents </w:t>
      </w:r>
      <w:proofErr w:type="spellStart"/>
      <w:r>
        <w:rPr>
          <w:rFonts w:cs="Calibri"/>
          <w:i/>
          <w:iCs/>
          <w:sz w:val="20"/>
          <w:szCs w:val="20"/>
          <w:lang w:val="en-GB"/>
        </w:rPr>
        <w:t>karavoskaro</w:t>
      </w:r>
      <w:proofErr w:type="spellEnd"/>
      <w:r>
        <w:rPr>
          <w:rFonts w:cs="Calibri"/>
          <w:sz w:val="20"/>
          <w:szCs w:val="20"/>
          <w:lang w:val="en-GB"/>
        </w:rPr>
        <w:t xml:space="preserve"> type with inclined transom instead of counter stern. Painting by </w:t>
      </w:r>
      <w:proofErr w:type="spellStart"/>
      <w:r>
        <w:rPr>
          <w:rFonts w:cs="Calibri"/>
          <w:sz w:val="20"/>
          <w:szCs w:val="20"/>
          <w:lang w:val="en-GB"/>
        </w:rPr>
        <w:t>Gie</w:t>
      </w:r>
      <w:proofErr w:type="spellEnd"/>
      <w:r>
        <w:rPr>
          <w:rFonts w:cs="Calibri"/>
          <w:sz w:val="20"/>
          <w:szCs w:val="20"/>
          <w:lang w:val="en-GB"/>
        </w:rPr>
        <w:t xml:space="preserve"> </w:t>
      </w:r>
      <w:proofErr w:type="spellStart"/>
      <w:r>
        <w:rPr>
          <w:rFonts w:cs="Calibri"/>
          <w:sz w:val="20"/>
          <w:szCs w:val="20"/>
          <w:lang w:val="en-GB"/>
        </w:rPr>
        <w:t>Luzze</w:t>
      </w:r>
      <w:proofErr w:type="spellEnd"/>
      <w:r>
        <w:rPr>
          <w:rFonts w:cs="Calibri"/>
          <w:sz w:val="20"/>
          <w:szCs w:val="20"/>
          <w:lang w:val="en-GB"/>
        </w:rPr>
        <w:t>, Venice, 1861 (</w:t>
      </w:r>
      <w:proofErr w:type="spellStart"/>
      <w:r>
        <w:rPr>
          <w:rFonts w:cs="Calibri"/>
          <w:sz w:val="20"/>
          <w:szCs w:val="20"/>
          <w:lang w:val="en-GB"/>
        </w:rPr>
        <w:t>Tzamtzis</w:t>
      </w:r>
      <w:proofErr w:type="spellEnd"/>
      <w:r>
        <w:rPr>
          <w:rFonts w:cs="Calibri"/>
          <w:sz w:val="20"/>
          <w:szCs w:val="20"/>
          <w:lang w:val="en-GB"/>
        </w:rPr>
        <w:t xml:space="preserve"> 1972: Fig. 68)</w:t>
      </w:r>
    </w:p>
    <w:p w14:paraId="0073190F" w14:textId="77777777" w:rsidR="000B139B" w:rsidRDefault="000B139B">
      <w:pPr>
        <w:autoSpaceDE w:val="0"/>
        <w:spacing w:after="0" w:line="276" w:lineRule="auto"/>
        <w:jc w:val="both"/>
        <w:rPr>
          <w:lang w:val="en-US"/>
        </w:rPr>
      </w:pPr>
    </w:p>
    <w:p w14:paraId="5A950287" w14:textId="77777777" w:rsidR="000B139B" w:rsidRDefault="00DB4960">
      <w:pPr>
        <w:autoSpaceDE w:val="0"/>
        <w:spacing w:after="0" w:line="360" w:lineRule="auto"/>
        <w:jc w:val="both"/>
      </w:pPr>
      <w:r>
        <w:rPr>
          <w:rFonts w:cs="Calibri"/>
          <w:sz w:val="24"/>
          <w:szCs w:val="24"/>
          <w:lang w:val="en-US"/>
        </w:rPr>
        <w:t xml:space="preserve">Early brigs were characterized by the gun ports on the ship’s bulwark side, an S-shaped bow and an </w:t>
      </w:r>
      <w:r>
        <w:rPr>
          <w:rFonts w:cs="Calibri"/>
          <w:sz w:val="24"/>
          <w:szCs w:val="24"/>
        </w:rPr>
        <w:t>Ψ</w:t>
      </w:r>
      <w:r>
        <w:rPr>
          <w:rFonts w:cs="Calibri"/>
          <w:sz w:val="24"/>
          <w:szCs w:val="24"/>
          <w:lang w:val="en-US"/>
        </w:rPr>
        <w:t>-shaped transom at t</w:t>
      </w:r>
      <w:r>
        <w:rPr>
          <w:rFonts w:cs="Calibri"/>
          <w:sz w:val="24"/>
          <w:szCs w:val="24"/>
          <w:lang w:val="en-US"/>
        </w:rPr>
        <w:t xml:space="preserve">he projecting stern </w:t>
      </w:r>
      <w:r>
        <w:rPr>
          <w:rFonts w:cs="Calibri"/>
          <w:sz w:val="24"/>
          <w:szCs w:val="24"/>
          <w:lang w:val="en-GB"/>
        </w:rPr>
        <w:t>(</w:t>
      </w:r>
      <w:r>
        <w:rPr>
          <w:rFonts w:cs="Calibri"/>
          <w:b/>
          <w:bCs/>
          <w:sz w:val="24"/>
          <w:szCs w:val="24"/>
          <w:lang w:val="en-GB"/>
        </w:rPr>
        <w:t>Fig. 2</w:t>
      </w:r>
      <w:r>
        <w:rPr>
          <w:rFonts w:cs="Calibri"/>
          <w:sz w:val="24"/>
          <w:szCs w:val="24"/>
          <w:lang w:val="en-GB"/>
        </w:rPr>
        <w:t>)</w:t>
      </w:r>
      <w:r>
        <w:rPr>
          <w:rFonts w:cs="Calibri"/>
          <w:sz w:val="24"/>
          <w:szCs w:val="24"/>
          <w:lang w:val="en-US"/>
        </w:rPr>
        <w:t>. From the 1850s onwards, the morphological characteristics of brigs</w:t>
      </w:r>
      <w:r>
        <w:rPr>
          <w:rFonts w:cs="Calibri"/>
          <w:i/>
          <w:iCs/>
          <w:sz w:val="24"/>
          <w:szCs w:val="24"/>
          <w:lang w:val="en-US"/>
        </w:rPr>
        <w:t xml:space="preserve"> </w:t>
      </w:r>
      <w:r>
        <w:rPr>
          <w:rFonts w:cs="Calibri"/>
          <w:sz w:val="24"/>
          <w:szCs w:val="24"/>
          <w:lang w:val="en-US"/>
        </w:rPr>
        <w:t xml:space="preserve">changed. Following the international trends, they were constructed smaller, cheaper, without false gun ports, and with less decorations. The double </w:t>
      </w:r>
      <w:r>
        <w:rPr>
          <w:rFonts w:cs="Calibri"/>
          <w:sz w:val="24"/>
          <w:szCs w:val="24"/>
          <w:lang w:val="en-US"/>
        </w:rPr>
        <w:t xml:space="preserve">curvature (S-shaped) of the stem post became hollow and a counter stern replaced the transom (Delis 2014: 54) </w:t>
      </w:r>
      <w:r>
        <w:rPr>
          <w:rFonts w:cs="Calibri"/>
          <w:sz w:val="24"/>
          <w:szCs w:val="24"/>
          <w:lang w:val="en-GB"/>
        </w:rPr>
        <w:t>(</w:t>
      </w:r>
      <w:r>
        <w:rPr>
          <w:rFonts w:cs="Calibri"/>
          <w:b/>
          <w:bCs/>
          <w:sz w:val="24"/>
          <w:szCs w:val="24"/>
          <w:lang w:val="en-GB"/>
        </w:rPr>
        <w:t>Figs. 3,4</w:t>
      </w:r>
      <w:r>
        <w:rPr>
          <w:rFonts w:cs="Calibri"/>
          <w:sz w:val="24"/>
          <w:szCs w:val="24"/>
          <w:lang w:val="en-GB"/>
        </w:rPr>
        <w:t>)</w:t>
      </w:r>
      <w:r>
        <w:rPr>
          <w:rFonts w:cs="Calibri"/>
          <w:sz w:val="24"/>
          <w:szCs w:val="24"/>
          <w:lang w:val="en-US"/>
        </w:rPr>
        <w:t>. The shape of the ship’s body varied and cannot be accurately characterized (</w:t>
      </w:r>
      <w:proofErr w:type="spellStart"/>
      <w:r>
        <w:rPr>
          <w:rFonts w:cs="Calibri"/>
          <w:sz w:val="24"/>
          <w:szCs w:val="24"/>
          <w:lang w:val="en-US"/>
        </w:rPr>
        <w:t>Damianidis</w:t>
      </w:r>
      <w:proofErr w:type="spellEnd"/>
      <w:r>
        <w:rPr>
          <w:rFonts w:cs="Calibri"/>
          <w:sz w:val="24"/>
          <w:szCs w:val="24"/>
          <w:lang w:val="en-US"/>
        </w:rPr>
        <w:t xml:space="preserve"> 2014: 322, 328) (</w:t>
      </w:r>
      <w:r>
        <w:rPr>
          <w:rFonts w:cs="Calibri"/>
          <w:b/>
          <w:bCs/>
          <w:sz w:val="24"/>
          <w:szCs w:val="24"/>
          <w:lang w:val="en-US"/>
        </w:rPr>
        <w:t>Fig. 5</w:t>
      </w:r>
      <w:r>
        <w:rPr>
          <w:rFonts w:cs="Calibri"/>
          <w:sz w:val="24"/>
          <w:szCs w:val="24"/>
          <w:lang w:val="en-US"/>
        </w:rPr>
        <w:t>). We could describe it</w:t>
      </w:r>
      <w:r>
        <w:rPr>
          <w:rFonts w:cs="Calibri"/>
          <w:sz w:val="24"/>
          <w:szCs w:val="24"/>
          <w:lang w:val="en-US"/>
        </w:rPr>
        <w:t>, however, as a cargo ship of a full body.</w:t>
      </w:r>
    </w:p>
    <w:tbl>
      <w:tblPr>
        <w:tblW w:w="8306" w:type="dxa"/>
        <w:tblCellMar>
          <w:left w:w="10" w:type="dxa"/>
          <w:right w:w="10" w:type="dxa"/>
        </w:tblCellMar>
        <w:tblLook w:val="04A0" w:firstRow="1" w:lastRow="0" w:firstColumn="1" w:lastColumn="0" w:noHBand="0" w:noVBand="1"/>
      </w:tblPr>
      <w:tblGrid>
        <w:gridCol w:w="4244"/>
        <w:gridCol w:w="4062"/>
      </w:tblGrid>
      <w:tr w:rsidR="000B139B" w14:paraId="41DFC8D8" w14:textId="77777777">
        <w:tblPrEx>
          <w:tblCellMar>
            <w:top w:w="0" w:type="dxa"/>
            <w:bottom w:w="0" w:type="dxa"/>
          </w:tblCellMar>
        </w:tblPrEx>
        <w:tc>
          <w:tcPr>
            <w:tcW w:w="4239" w:type="dxa"/>
            <w:shd w:val="clear" w:color="auto" w:fill="auto"/>
            <w:tcMar>
              <w:top w:w="0" w:type="dxa"/>
              <w:left w:w="108" w:type="dxa"/>
              <w:bottom w:w="0" w:type="dxa"/>
              <w:right w:w="108" w:type="dxa"/>
            </w:tcMar>
          </w:tcPr>
          <w:p w14:paraId="218EEA16" w14:textId="77777777" w:rsidR="000B139B" w:rsidRDefault="00DB4960">
            <w:pPr>
              <w:autoSpaceDE w:val="0"/>
              <w:spacing w:after="0" w:line="360" w:lineRule="auto"/>
              <w:jc w:val="both"/>
            </w:pPr>
            <w:r>
              <w:rPr>
                <w:rFonts w:cs="Calibri"/>
                <w:noProof/>
                <w:sz w:val="24"/>
                <w:szCs w:val="24"/>
              </w:rPr>
              <w:lastRenderedPageBreak/>
              <w:drawing>
                <wp:inline distT="0" distB="0" distL="0" distR="0" wp14:anchorId="0D07AAB2" wp14:editId="7A2C1DF1">
                  <wp:extent cx="2686050" cy="2352678"/>
                  <wp:effectExtent l="0" t="0" r="6350" b="0"/>
                  <wp:docPr id="2" name="Picture 1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686050" cy="2352678"/>
                          </a:xfrm>
                          <a:prstGeom prst="rect">
                            <a:avLst/>
                          </a:prstGeom>
                          <a:noFill/>
                          <a:ln>
                            <a:noFill/>
                            <a:prstDash/>
                          </a:ln>
                        </pic:spPr>
                      </pic:pic>
                    </a:graphicData>
                  </a:graphic>
                </wp:inline>
              </w:drawing>
            </w:r>
          </w:p>
        </w:tc>
        <w:tc>
          <w:tcPr>
            <w:tcW w:w="4067" w:type="dxa"/>
            <w:shd w:val="clear" w:color="auto" w:fill="auto"/>
            <w:tcMar>
              <w:top w:w="0" w:type="dxa"/>
              <w:left w:w="108" w:type="dxa"/>
              <w:bottom w:w="0" w:type="dxa"/>
              <w:right w:w="108" w:type="dxa"/>
            </w:tcMar>
          </w:tcPr>
          <w:p w14:paraId="02B7024C" w14:textId="77777777" w:rsidR="000B139B" w:rsidRDefault="00DB4960">
            <w:pPr>
              <w:autoSpaceDE w:val="0"/>
              <w:spacing w:after="0" w:line="360" w:lineRule="auto"/>
              <w:jc w:val="both"/>
            </w:pPr>
            <w:r>
              <w:rPr>
                <w:rFonts w:cs="Calibri"/>
                <w:noProof/>
                <w:sz w:val="24"/>
                <w:szCs w:val="24"/>
              </w:rPr>
              <w:drawing>
                <wp:inline distT="0" distB="0" distL="0" distR="0" wp14:anchorId="098597FF" wp14:editId="6524C569">
                  <wp:extent cx="2571749" cy="2419346"/>
                  <wp:effectExtent l="0" t="0" r="0" b="0"/>
                  <wp:docPr id="3" name="Picture 11"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571749" cy="2419346"/>
                          </a:xfrm>
                          <a:prstGeom prst="rect">
                            <a:avLst/>
                          </a:prstGeom>
                          <a:noFill/>
                          <a:ln>
                            <a:noFill/>
                            <a:prstDash/>
                          </a:ln>
                        </pic:spPr>
                      </pic:pic>
                    </a:graphicData>
                  </a:graphic>
                </wp:inline>
              </w:drawing>
            </w:r>
          </w:p>
        </w:tc>
      </w:tr>
      <w:tr w:rsidR="000B139B" w14:paraId="70AF8305" w14:textId="77777777">
        <w:tblPrEx>
          <w:tblCellMar>
            <w:top w:w="0" w:type="dxa"/>
            <w:bottom w:w="0" w:type="dxa"/>
          </w:tblCellMar>
        </w:tblPrEx>
        <w:tc>
          <w:tcPr>
            <w:tcW w:w="4239" w:type="dxa"/>
            <w:shd w:val="clear" w:color="auto" w:fill="auto"/>
            <w:tcMar>
              <w:top w:w="0" w:type="dxa"/>
              <w:left w:w="108" w:type="dxa"/>
              <w:bottom w:w="0" w:type="dxa"/>
              <w:right w:w="108" w:type="dxa"/>
            </w:tcMar>
          </w:tcPr>
          <w:p w14:paraId="4128D8E4" w14:textId="77777777" w:rsidR="000B139B" w:rsidRDefault="00DB4960">
            <w:pPr>
              <w:autoSpaceDE w:val="0"/>
              <w:spacing w:after="0" w:line="276" w:lineRule="auto"/>
            </w:pPr>
            <w:bookmarkStart w:id="2" w:name="_Hlk59757484"/>
            <w:r>
              <w:rPr>
                <w:rFonts w:cs="Calibri"/>
                <w:b/>
                <w:bCs/>
                <w:sz w:val="20"/>
                <w:szCs w:val="20"/>
                <w:lang w:val="en-US"/>
              </w:rPr>
              <w:t>Figure 2</w:t>
            </w:r>
            <w:r>
              <w:rPr>
                <w:rFonts w:cs="Calibri"/>
                <w:sz w:val="20"/>
                <w:szCs w:val="20"/>
                <w:lang w:val="en-US"/>
              </w:rPr>
              <w:t>: Stern framing of an 18</w:t>
            </w:r>
            <w:r>
              <w:rPr>
                <w:rFonts w:cs="Calibri"/>
                <w:sz w:val="20"/>
                <w:szCs w:val="20"/>
                <w:vertAlign w:val="superscript"/>
                <w:lang w:val="en-US"/>
              </w:rPr>
              <w:t>th</w:t>
            </w:r>
            <w:r>
              <w:rPr>
                <w:rFonts w:cs="Calibri"/>
                <w:sz w:val="20"/>
                <w:szCs w:val="20"/>
                <w:lang w:val="en-US"/>
              </w:rPr>
              <w:t xml:space="preserve"> century brig (</w:t>
            </w:r>
            <w:proofErr w:type="spellStart"/>
            <w:r>
              <w:rPr>
                <w:rFonts w:cs="Calibri"/>
                <w:sz w:val="20"/>
                <w:szCs w:val="20"/>
                <w:lang w:val="en-US"/>
              </w:rPr>
              <w:t>Steffy</w:t>
            </w:r>
            <w:proofErr w:type="spellEnd"/>
            <w:r>
              <w:rPr>
                <w:rFonts w:cs="Calibri"/>
                <w:sz w:val="20"/>
                <w:szCs w:val="20"/>
                <w:lang w:val="en-US"/>
              </w:rPr>
              <w:t xml:space="preserve"> 1994: 295, Fig. G-14a)</w:t>
            </w:r>
            <w:bookmarkEnd w:id="2"/>
          </w:p>
        </w:tc>
        <w:tc>
          <w:tcPr>
            <w:tcW w:w="4067" w:type="dxa"/>
            <w:shd w:val="clear" w:color="auto" w:fill="auto"/>
            <w:tcMar>
              <w:top w:w="0" w:type="dxa"/>
              <w:left w:w="108" w:type="dxa"/>
              <w:bottom w:w="0" w:type="dxa"/>
              <w:right w:w="108" w:type="dxa"/>
            </w:tcMar>
          </w:tcPr>
          <w:p w14:paraId="57158C2D" w14:textId="77777777" w:rsidR="000B139B" w:rsidRDefault="00DB4960">
            <w:pPr>
              <w:autoSpaceDE w:val="0"/>
              <w:spacing w:after="0" w:line="276" w:lineRule="auto"/>
            </w:pPr>
            <w:r>
              <w:rPr>
                <w:rFonts w:cs="Calibri"/>
                <w:b/>
                <w:bCs/>
                <w:sz w:val="20"/>
                <w:szCs w:val="20"/>
                <w:lang w:val="en-US"/>
              </w:rPr>
              <w:t>Figure 3</w:t>
            </w:r>
            <w:r>
              <w:rPr>
                <w:rFonts w:cs="Calibri"/>
                <w:sz w:val="20"/>
                <w:szCs w:val="20"/>
                <w:lang w:val="en-US"/>
              </w:rPr>
              <w:t>: Stern framing of a 20</w:t>
            </w:r>
            <w:r>
              <w:rPr>
                <w:rFonts w:cs="Calibri"/>
                <w:sz w:val="20"/>
                <w:szCs w:val="20"/>
                <w:vertAlign w:val="superscript"/>
                <w:lang w:val="en-US"/>
              </w:rPr>
              <w:t>th</w:t>
            </w:r>
            <w:r>
              <w:rPr>
                <w:rFonts w:cs="Calibri"/>
                <w:sz w:val="20"/>
                <w:szCs w:val="20"/>
                <w:lang w:val="en-US"/>
              </w:rPr>
              <w:t xml:space="preserve"> century </w:t>
            </w:r>
            <w:proofErr w:type="spellStart"/>
            <w:r>
              <w:rPr>
                <w:rFonts w:cs="Calibri"/>
                <w:i/>
                <w:iCs/>
                <w:sz w:val="20"/>
                <w:szCs w:val="20"/>
                <w:lang w:val="en-US"/>
              </w:rPr>
              <w:t>karavoskaro</w:t>
            </w:r>
            <w:proofErr w:type="spellEnd"/>
            <w:r>
              <w:rPr>
                <w:rFonts w:cs="Calibri"/>
                <w:sz w:val="20"/>
                <w:szCs w:val="20"/>
                <w:lang w:val="en-US"/>
              </w:rPr>
              <w:t xml:space="preserve"> (</w:t>
            </w:r>
            <w:proofErr w:type="spellStart"/>
            <w:r>
              <w:rPr>
                <w:rFonts w:cs="Calibri"/>
                <w:sz w:val="20"/>
                <w:szCs w:val="20"/>
                <w:lang w:val="en-US"/>
              </w:rPr>
              <w:t>Damianidis</w:t>
            </w:r>
            <w:proofErr w:type="spellEnd"/>
            <w:r>
              <w:rPr>
                <w:rFonts w:cs="Calibri"/>
                <w:sz w:val="20"/>
                <w:szCs w:val="20"/>
                <w:lang w:val="en-US"/>
              </w:rPr>
              <w:t xml:space="preserve"> 1998: 194, Fig. 237)</w:t>
            </w:r>
          </w:p>
        </w:tc>
      </w:tr>
    </w:tbl>
    <w:p w14:paraId="18424D81" w14:textId="77777777" w:rsidR="000B139B" w:rsidRDefault="000B139B">
      <w:pPr>
        <w:autoSpaceDE w:val="0"/>
        <w:spacing w:after="0" w:line="360" w:lineRule="auto"/>
        <w:jc w:val="both"/>
        <w:rPr>
          <w:rFonts w:cs="Calibri"/>
          <w:sz w:val="24"/>
          <w:szCs w:val="24"/>
          <w:lang w:val="en-US"/>
        </w:rPr>
      </w:pPr>
    </w:p>
    <w:tbl>
      <w:tblPr>
        <w:tblW w:w="8570" w:type="dxa"/>
        <w:tblCellMar>
          <w:left w:w="10" w:type="dxa"/>
          <w:right w:w="10" w:type="dxa"/>
        </w:tblCellMar>
        <w:tblLook w:val="04A0" w:firstRow="1" w:lastRow="0" w:firstColumn="1" w:lastColumn="0" w:noHBand="0" w:noVBand="1"/>
      </w:tblPr>
      <w:tblGrid>
        <w:gridCol w:w="4234"/>
        <w:gridCol w:w="4336"/>
      </w:tblGrid>
      <w:tr w:rsidR="000B139B" w14:paraId="75B80CF2" w14:textId="77777777">
        <w:tblPrEx>
          <w:tblCellMar>
            <w:top w:w="0" w:type="dxa"/>
            <w:bottom w:w="0" w:type="dxa"/>
          </w:tblCellMar>
        </w:tblPrEx>
        <w:trPr>
          <w:trHeight w:val="4022"/>
        </w:trPr>
        <w:tc>
          <w:tcPr>
            <w:tcW w:w="4239" w:type="dxa"/>
            <w:shd w:val="clear" w:color="auto" w:fill="auto"/>
            <w:tcMar>
              <w:top w:w="0" w:type="dxa"/>
              <w:left w:w="108" w:type="dxa"/>
              <w:bottom w:w="0" w:type="dxa"/>
              <w:right w:w="108" w:type="dxa"/>
            </w:tcMar>
          </w:tcPr>
          <w:p w14:paraId="42A41CEA" w14:textId="77777777" w:rsidR="000B139B" w:rsidRDefault="00DB4960">
            <w:pPr>
              <w:spacing w:after="0" w:line="276" w:lineRule="auto"/>
            </w:pPr>
            <w:r>
              <w:rPr>
                <w:rFonts w:cs="Calibri"/>
                <w:sz w:val="20"/>
                <w:szCs w:val="20"/>
                <w:lang w:val="en-US"/>
              </w:rPr>
              <w:t xml:space="preserve"> </w:t>
            </w:r>
            <w:r>
              <w:rPr>
                <w:rFonts w:cs="Calibri"/>
                <w:b/>
                <w:noProof/>
                <w:sz w:val="20"/>
                <w:szCs w:val="20"/>
                <w:lang w:val="en-US"/>
              </w:rPr>
              <w:drawing>
                <wp:inline distT="0" distB="0" distL="0" distR="0" wp14:anchorId="4EB63AB0" wp14:editId="3FF66135">
                  <wp:extent cx="2000250" cy="2609853"/>
                  <wp:effectExtent l="0" t="0" r="6350" b="6347"/>
                  <wp:docPr id="4" name="Picture 1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000250" cy="2609853"/>
                          </a:xfrm>
                          <a:prstGeom prst="rect">
                            <a:avLst/>
                          </a:prstGeom>
                          <a:noFill/>
                          <a:ln>
                            <a:noFill/>
                            <a:prstDash/>
                          </a:ln>
                        </pic:spPr>
                      </pic:pic>
                    </a:graphicData>
                  </a:graphic>
                </wp:inline>
              </w:drawing>
            </w:r>
          </w:p>
        </w:tc>
        <w:tc>
          <w:tcPr>
            <w:tcW w:w="4331" w:type="dxa"/>
            <w:shd w:val="clear" w:color="auto" w:fill="auto"/>
            <w:tcMar>
              <w:top w:w="0" w:type="dxa"/>
              <w:left w:w="108" w:type="dxa"/>
              <w:bottom w:w="0" w:type="dxa"/>
              <w:right w:w="108" w:type="dxa"/>
            </w:tcMar>
          </w:tcPr>
          <w:p w14:paraId="2CF608B0" w14:textId="77777777" w:rsidR="000B139B" w:rsidRDefault="00DB4960">
            <w:pPr>
              <w:spacing w:after="0" w:line="276" w:lineRule="auto"/>
            </w:pPr>
            <w:r>
              <w:rPr>
                <w:rFonts w:cs="Calibri"/>
                <w:b/>
                <w:noProof/>
                <w:sz w:val="20"/>
                <w:szCs w:val="20"/>
                <w:lang w:val="en-US"/>
              </w:rPr>
              <w:drawing>
                <wp:inline distT="0" distB="0" distL="0" distR="0" wp14:anchorId="69FBFDFA" wp14:editId="034B43DB">
                  <wp:extent cx="2609853" cy="2571749"/>
                  <wp:effectExtent l="0" t="0" r="6347" b="0"/>
                  <wp:docPr id="5" name="Picture 9"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609853" cy="2571749"/>
                          </a:xfrm>
                          <a:prstGeom prst="rect">
                            <a:avLst/>
                          </a:prstGeom>
                          <a:noFill/>
                          <a:ln>
                            <a:noFill/>
                            <a:prstDash/>
                          </a:ln>
                        </pic:spPr>
                      </pic:pic>
                    </a:graphicData>
                  </a:graphic>
                </wp:inline>
              </w:drawing>
            </w:r>
          </w:p>
        </w:tc>
      </w:tr>
      <w:tr w:rsidR="000B139B" w14:paraId="134F441F" w14:textId="77777777">
        <w:tblPrEx>
          <w:tblCellMar>
            <w:top w:w="0" w:type="dxa"/>
            <w:bottom w:w="0" w:type="dxa"/>
          </w:tblCellMar>
        </w:tblPrEx>
        <w:trPr>
          <w:trHeight w:val="260"/>
        </w:trPr>
        <w:tc>
          <w:tcPr>
            <w:tcW w:w="4239" w:type="dxa"/>
            <w:shd w:val="clear" w:color="auto" w:fill="auto"/>
            <w:tcMar>
              <w:top w:w="0" w:type="dxa"/>
              <w:left w:w="108" w:type="dxa"/>
              <w:bottom w:w="0" w:type="dxa"/>
              <w:right w:w="108" w:type="dxa"/>
            </w:tcMar>
          </w:tcPr>
          <w:p w14:paraId="30D584EB" w14:textId="77777777" w:rsidR="000B139B" w:rsidRDefault="00DB4960">
            <w:pPr>
              <w:spacing w:after="0" w:line="276" w:lineRule="auto"/>
            </w:pPr>
            <w:bookmarkStart w:id="3" w:name="_Hlk59756547"/>
            <w:r>
              <w:rPr>
                <w:rFonts w:cs="Calibri"/>
                <w:b/>
                <w:bCs/>
                <w:sz w:val="20"/>
                <w:szCs w:val="20"/>
                <w:lang w:val="en-US"/>
              </w:rPr>
              <w:t>Figure 4</w:t>
            </w:r>
            <w:r>
              <w:rPr>
                <w:rFonts w:cs="Calibri"/>
                <w:sz w:val="20"/>
                <w:szCs w:val="20"/>
                <w:lang w:val="en-US"/>
              </w:rPr>
              <w:t xml:space="preserve">: </w:t>
            </w:r>
            <w:bookmarkEnd w:id="3"/>
            <w:r>
              <w:rPr>
                <w:rFonts w:cs="Calibri"/>
                <w:sz w:val="20"/>
                <w:szCs w:val="20"/>
                <w:lang w:val="en-US"/>
              </w:rPr>
              <w:t xml:space="preserve">Bow structure </w:t>
            </w:r>
            <w:r>
              <w:rPr>
                <w:rFonts w:cs="Calibri"/>
                <w:sz w:val="20"/>
                <w:szCs w:val="20"/>
                <w:lang w:val="en-US"/>
              </w:rPr>
              <w:t>(</w:t>
            </w:r>
            <w:proofErr w:type="spellStart"/>
            <w:r>
              <w:rPr>
                <w:rFonts w:cs="Calibri"/>
                <w:sz w:val="20"/>
                <w:szCs w:val="20"/>
                <w:lang w:val="en-US"/>
              </w:rPr>
              <w:t>Steffy</w:t>
            </w:r>
            <w:proofErr w:type="spellEnd"/>
            <w:r>
              <w:rPr>
                <w:rFonts w:cs="Calibri"/>
                <w:sz w:val="20"/>
                <w:szCs w:val="20"/>
                <w:lang w:val="en-US"/>
              </w:rPr>
              <w:t xml:space="preserve"> 1998: 284, Fig. G-3)</w:t>
            </w:r>
          </w:p>
        </w:tc>
        <w:tc>
          <w:tcPr>
            <w:tcW w:w="4331" w:type="dxa"/>
            <w:shd w:val="clear" w:color="auto" w:fill="auto"/>
            <w:tcMar>
              <w:top w:w="0" w:type="dxa"/>
              <w:left w:w="108" w:type="dxa"/>
              <w:bottom w:w="0" w:type="dxa"/>
              <w:right w:w="108" w:type="dxa"/>
            </w:tcMar>
          </w:tcPr>
          <w:p w14:paraId="0A58FF85" w14:textId="77777777" w:rsidR="000B139B" w:rsidRDefault="00DB4960">
            <w:pPr>
              <w:spacing w:after="0" w:line="276" w:lineRule="auto"/>
            </w:pPr>
            <w:bookmarkStart w:id="4" w:name="_Hlk59757868"/>
            <w:r>
              <w:rPr>
                <w:rFonts w:cs="Calibri"/>
                <w:b/>
                <w:bCs/>
                <w:sz w:val="20"/>
                <w:szCs w:val="20"/>
                <w:lang w:val="en-US"/>
              </w:rPr>
              <w:t>Figure 5</w:t>
            </w:r>
            <w:r>
              <w:rPr>
                <w:rFonts w:cs="Calibri"/>
                <w:sz w:val="20"/>
                <w:szCs w:val="20"/>
                <w:lang w:val="en-US"/>
              </w:rPr>
              <w:t xml:space="preserve">: </w:t>
            </w:r>
            <w:bookmarkEnd w:id="4"/>
            <w:r>
              <w:rPr>
                <w:rFonts w:cs="Calibri"/>
                <w:sz w:val="20"/>
                <w:szCs w:val="20"/>
                <w:lang w:val="en-US"/>
              </w:rPr>
              <w:t>Hull lines of ships carried brig rigging (</w:t>
            </w:r>
            <w:proofErr w:type="spellStart"/>
            <w:r>
              <w:rPr>
                <w:rFonts w:cs="Calibri"/>
                <w:sz w:val="20"/>
                <w:szCs w:val="20"/>
                <w:lang w:val="en-US"/>
              </w:rPr>
              <w:t>Damianidis</w:t>
            </w:r>
            <w:proofErr w:type="spellEnd"/>
            <w:r>
              <w:rPr>
                <w:rFonts w:cs="Calibri"/>
                <w:sz w:val="20"/>
                <w:szCs w:val="20"/>
                <w:lang w:val="en-US"/>
              </w:rPr>
              <w:t xml:space="preserve"> 2014: 322)</w:t>
            </w:r>
          </w:p>
        </w:tc>
      </w:tr>
    </w:tbl>
    <w:p w14:paraId="62F51294" w14:textId="77777777" w:rsidR="000B139B" w:rsidRDefault="000B139B">
      <w:pPr>
        <w:autoSpaceDE w:val="0"/>
        <w:spacing w:after="0" w:line="360" w:lineRule="auto"/>
        <w:jc w:val="both"/>
        <w:rPr>
          <w:lang w:val="en-US"/>
        </w:rPr>
      </w:pPr>
    </w:p>
    <w:p w14:paraId="6ED6B63E" w14:textId="77777777" w:rsidR="000B139B" w:rsidRDefault="000B139B">
      <w:pPr>
        <w:autoSpaceDE w:val="0"/>
        <w:spacing w:after="0" w:line="360" w:lineRule="auto"/>
        <w:jc w:val="both"/>
        <w:rPr>
          <w:lang w:val="en-US"/>
        </w:rPr>
      </w:pPr>
    </w:p>
    <w:p w14:paraId="3E1A59BE" w14:textId="77777777" w:rsidR="000B139B" w:rsidRDefault="00DB4960">
      <w:pPr>
        <w:pStyle w:val="ListParagraph"/>
        <w:numPr>
          <w:ilvl w:val="0"/>
          <w:numId w:val="1"/>
        </w:numPr>
        <w:spacing w:line="360" w:lineRule="auto"/>
        <w:ind w:left="360"/>
        <w:jc w:val="both"/>
        <w:rPr>
          <w:rFonts w:cs="Calibri"/>
          <w:b/>
          <w:bCs/>
          <w:sz w:val="24"/>
          <w:szCs w:val="24"/>
          <w:lang w:val="en-US"/>
        </w:rPr>
      </w:pPr>
      <w:r>
        <w:rPr>
          <w:rFonts w:cs="Calibri"/>
          <w:b/>
          <w:bCs/>
          <w:sz w:val="24"/>
          <w:szCs w:val="24"/>
          <w:lang w:val="en-US"/>
        </w:rPr>
        <w:t>Visualization of shipbuilding features</w:t>
      </w:r>
      <w:bookmarkStart w:id="5" w:name="_Toc59908956"/>
    </w:p>
    <w:bookmarkEnd w:id="5"/>
    <w:p w14:paraId="13F1932F" w14:textId="77777777" w:rsidR="000B139B" w:rsidRDefault="00DB4960">
      <w:pPr>
        <w:spacing w:line="360" w:lineRule="auto"/>
        <w:jc w:val="both"/>
      </w:pPr>
      <w:r>
        <w:rPr>
          <w:rFonts w:eastAsia="Times New Roman" w:cs="Calibri"/>
          <w:sz w:val="24"/>
          <w:szCs w:val="24"/>
          <w:lang w:val="en-US" w:eastAsia="el-GR"/>
        </w:rPr>
        <w:t>Before and after a 19</w:t>
      </w:r>
      <w:r>
        <w:rPr>
          <w:rFonts w:eastAsia="Times New Roman" w:cs="Calibri"/>
          <w:sz w:val="24"/>
          <w:szCs w:val="24"/>
          <w:vertAlign w:val="superscript"/>
          <w:lang w:val="en-US" w:eastAsia="el-GR"/>
        </w:rPr>
        <w:t>th</w:t>
      </w:r>
      <w:r>
        <w:rPr>
          <w:rFonts w:eastAsia="Times New Roman" w:cs="Calibri"/>
          <w:sz w:val="24"/>
          <w:szCs w:val="24"/>
          <w:lang w:val="en-US" w:eastAsia="el-GR"/>
        </w:rPr>
        <w:t xml:space="preserve"> century ship's construction, several types of contracts were created such as </w:t>
      </w:r>
      <w:r>
        <w:rPr>
          <w:rFonts w:eastAsia="Times New Roman" w:cs="Calibri"/>
          <w:sz w:val="24"/>
          <w:szCs w:val="24"/>
          <w:lang w:val="en-US" w:eastAsia="el-GR"/>
        </w:rPr>
        <w:t xml:space="preserve">shipbuilding contracts, contracts of raw material purchase, and title deeds. The shipbuilding contracts, which is the focus of this study, constitute the first stage of the shipbuilding process; they set the guidelines and terms of the ships' construction </w:t>
      </w:r>
      <w:r>
        <w:rPr>
          <w:rFonts w:eastAsia="Times New Roman" w:cs="Calibri"/>
          <w:sz w:val="24"/>
          <w:szCs w:val="24"/>
          <w:lang w:val="en-US" w:eastAsia="el-GR"/>
        </w:rPr>
        <w:t xml:space="preserve">and define the sense of trust between the owner and the shipbuilder. </w:t>
      </w:r>
    </w:p>
    <w:p w14:paraId="35A83EA7" w14:textId="77777777" w:rsidR="000B139B" w:rsidRDefault="00DB4960">
      <w:pPr>
        <w:spacing w:line="360" w:lineRule="auto"/>
        <w:jc w:val="both"/>
      </w:pPr>
      <w:r>
        <w:rPr>
          <w:rFonts w:eastAsia="Times New Roman" w:cs="Calibri"/>
          <w:sz w:val="24"/>
          <w:szCs w:val="24"/>
          <w:lang w:val="en-US" w:eastAsia="el-GR"/>
        </w:rPr>
        <w:lastRenderedPageBreak/>
        <w:t xml:space="preserve">The longest part of the contracts was the technical description of the new ship with details about </w:t>
      </w:r>
      <w:r>
        <w:rPr>
          <w:rFonts w:cs="Calibri"/>
          <w:sz w:val="24"/>
          <w:szCs w:val="24"/>
          <w:lang w:val="en-US"/>
        </w:rPr>
        <w:t>structural elements. For this study nine contracts were selected</w:t>
      </w:r>
      <w:r>
        <w:rPr>
          <w:rStyle w:val="tlid-translation"/>
          <w:rFonts w:cs="Calibri"/>
          <w:sz w:val="24"/>
          <w:szCs w:val="24"/>
          <w:lang w:val="en"/>
        </w:rPr>
        <w:t xml:space="preserve">: </w:t>
      </w:r>
      <w:r>
        <w:rPr>
          <w:rFonts w:cs="Calibri"/>
          <w:sz w:val="24"/>
          <w:szCs w:val="24"/>
          <w:lang w:val="en-GB"/>
        </w:rPr>
        <w:t>eight of them were pr</w:t>
      </w:r>
      <w:r>
        <w:rPr>
          <w:rFonts w:cs="Calibri"/>
          <w:sz w:val="24"/>
          <w:szCs w:val="24"/>
          <w:lang w:val="en-GB"/>
        </w:rPr>
        <w:t xml:space="preserve">ovided by the </w:t>
      </w:r>
      <w:r>
        <w:rPr>
          <w:rFonts w:eastAsia="Times New Roman" w:cs="Calibri"/>
          <w:sz w:val="24"/>
          <w:szCs w:val="24"/>
          <w:lang w:val="en-US" w:eastAsia="el-GR"/>
        </w:rPr>
        <w:t>General State Archives, the Cyclades' Prefecture, Syros</w:t>
      </w:r>
      <w:r>
        <w:rPr>
          <w:rFonts w:cs="Calibri"/>
          <w:sz w:val="24"/>
          <w:szCs w:val="24"/>
          <w:lang w:val="en-US"/>
        </w:rPr>
        <w:t xml:space="preserve">, </w:t>
      </w:r>
      <w:r>
        <w:rPr>
          <w:rFonts w:cs="Calibri"/>
          <w:sz w:val="24"/>
          <w:szCs w:val="24"/>
          <w:lang w:val="en-GB"/>
        </w:rPr>
        <w:t xml:space="preserve">and one belonged to the private collection </w:t>
      </w:r>
      <w:r>
        <w:rPr>
          <w:rStyle w:val="a"/>
          <w:rFonts w:cs="Calibri"/>
          <w:sz w:val="24"/>
          <w:szCs w:val="24"/>
          <w:lang w:val="en-GB"/>
        </w:rPr>
        <w:t xml:space="preserve">of Spyros </w:t>
      </w:r>
      <w:proofErr w:type="spellStart"/>
      <w:r>
        <w:rPr>
          <w:rStyle w:val="a"/>
          <w:rFonts w:cs="Calibri"/>
          <w:sz w:val="24"/>
          <w:szCs w:val="24"/>
          <w:lang w:val="en-GB"/>
        </w:rPr>
        <w:t>Manousakis</w:t>
      </w:r>
      <w:proofErr w:type="spellEnd"/>
      <w:r>
        <w:rPr>
          <w:rFonts w:cs="Calibri"/>
          <w:sz w:val="24"/>
          <w:szCs w:val="24"/>
          <w:lang w:val="en-GB"/>
        </w:rPr>
        <w:t xml:space="preserve"> (</w:t>
      </w:r>
      <w:proofErr w:type="spellStart"/>
      <w:r>
        <w:rPr>
          <w:rStyle w:val="a"/>
          <w:rFonts w:cs="Calibri"/>
          <w:sz w:val="24"/>
          <w:szCs w:val="24"/>
          <w:lang w:val="en-GB"/>
        </w:rPr>
        <w:t>Tzamtzis</w:t>
      </w:r>
      <w:proofErr w:type="spellEnd"/>
      <w:r>
        <w:rPr>
          <w:rStyle w:val="a"/>
          <w:rFonts w:cs="Calibri"/>
          <w:sz w:val="24"/>
          <w:szCs w:val="24"/>
          <w:lang w:val="en-GB"/>
        </w:rPr>
        <w:t xml:space="preserve"> 1987: 28 – 30)</w:t>
      </w:r>
      <w:r>
        <w:rPr>
          <w:rFonts w:cs="Calibri"/>
          <w:iCs/>
          <w:sz w:val="24"/>
          <w:szCs w:val="24"/>
          <w:lang w:val="en-GB"/>
        </w:rPr>
        <w:t>.</w:t>
      </w:r>
      <w:bookmarkStart w:id="6" w:name="_Toc59908958"/>
    </w:p>
    <w:bookmarkEnd w:id="6"/>
    <w:p w14:paraId="12785893" w14:textId="77777777" w:rsidR="000B139B" w:rsidRDefault="00DB4960">
      <w:pPr>
        <w:tabs>
          <w:tab w:val="left" w:pos="360"/>
        </w:tabs>
        <w:autoSpaceDE w:val="0"/>
        <w:spacing w:after="0" w:line="360" w:lineRule="auto"/>
        <w:jc w:val="both"/>
      </w:pPr>
      <w:r>
        <w:rPr>
          <w:rFonts w:cs="Calibri"/>
          <w:bCs/>
          <w:sz w:val="24"/>
          <w:szCs w:val="24"/>
          <w:lang w:val="en-US"/>
        </w:rPr>
        <w:t xml:space="preserve">As with all skeleton first built vessels, shipbuilding process of Aegean sailboats was divided </w:t>
      </w:r>
      <w:r>
        <w:rPr>
          <w:rFonts w:cs="Calibri"/>
          <w:bCs/>
          <w:sz w:val="24"/>
          <w:szCs w:val="24"/>
          <w:lang w:val="en-US"/>
        </w:rPr>
        <w:t>in two phases: the frame construction and the planking installation. Ships’ structural components are distinguished in two categories: the transversal elements used for the hull’s shaping, and the longitudinal reinforcement elements responsible for the shi</w:t>
      </w:r>
      <w:r>
        <w:rPr>
          <w:rFonts w:cs="Calibri"/>
          <w:bCs/>
          <w:sz w:val="24"/>
          <w:szCs w:val="24"/>
          <w:lang w:val="en-US"/>
        </w:rPr>
        <w:t>p’s durability and reinforcement (</w:t>
      </w:r>
      <w:proofErr w:type="spellStart"/>
      <w:r>
        <w:rPr>
          <w:rFonts w:cs="Calibri"/>
          <w:bCs/>
          <w:sz w:val="24"/>
          <w:szCs w:val="24"/>
          <w:lang w:val="en-US"/>
        </w:rPr>
        <w:t>Damianidis</w:t>
      </w:r>
      <w:proofErr w:type="spellEnd"/>
      <w:r>
        <w:rPr>
          <w:rFonts w:cs="Calibri"/>
          <w:bCs/>
          <w:sz w:val="24"/>
          <w:szCs w:val="24"/>
          <w:lang w:val="en-US"/>
        </w:rPr>
        <w:t xml:space="preserve"> 1998: 214-215; </w:t>
      </w:r>
      <w:proofErr w:type="spellStart"/>
      <w:r>
        <w:rPr>
          <w:rFonts w:cs="Calibri"/>
          <w:bCs/>
          <w:sz w:val="24"/>
          <w:szCs w:val="24"/>
          <w:lang w:val="en-US"/>
        </w:rPr>
        <w:t>Pomey</w:t>
      </w:r>
      <w:proofErr w:type="spellEnd"/>
      <w:r>
        <w:rPr>
          <w:rFonts w:cs="Calibri"/>
          <w:bCs/>
          <w:sz w:val="24"/>
          <w:szCs w:val="24"/>
          <w:lang w:val="en-US"/>
        </w:rPr>
        <w:t xml:space="preserve"> 2011; </w:t>
      </w:r>
      <w:proofErr w:type="spellStart"/>
      <w:r>
        <w:rPr>
          <w:rFonts w:cs="Calibri"/>
          <w:bCs/>
          <w:sz w:val="24"/>
          <w:szCs w:val="24"/>
          <w:lang w:val="en-US"/>
        </w:rPr>
        <w:t>Boetto</w:t>
      </w:r>
      <w:proofErr w:type="spellEnd"/>
      <w:r>
        <w:rPr>
          <w:rFonts w:cs="Calibri"/>
          <w:bCs/>
          <w:sz w:val="24"/>
          <w:szCs w:val="24"/>
          <w:lang w:val="en-US"/>
        </w:rPr>
        <w:t xml:space="preserve"> &amp; Poveda 2018).  </w:t>
      </w:r>
      <w:r>
        <w:rPr>
          <w:rFonts w:cs="Calibri"/>
          <w:sz w:val="24"/>
          <w:szCs w:val="24"/>
          <w:lang w:val="en-US"/>
        </w:rPr>
        <w:t>The main information described about all these components in the contracts’ technical analysis were:</w:t>
      </w:r>
    </w:p>
    <w:p w14:paraId="2DEAB2F4" w14:textId="77777777" w:rsidR="000B139B" w:rsidRDefault="00DB4960">
      <w:pPr>
        <w:pStyle w:val="ListParagraph"/>
        <w:numPr>
          <w:ilvl w:val="0"/>
          <w:numId w:val="3"/>
        </w:numPr>
        <w:spacing w:after="0" w:line="360" w:lineRule="auto"/>
        <w:jc w:val="both"/>
        <w:rPr>
          <w:rFonts w:eastAsia="Times New Roman" w:cs="Calibri"/>
          <w:b/>
          <w:bCs/>
          <w:sz w:val="24"/>
          <w:szCs w:val="24"/>
          <w:lang w:val="en-US" w:eastAsia="el-GR"/>
        </w:rPr>
      </w:pPr>
      <w:r>
        <w:rPr>
          <w:rFonts w:eastAsia="Times New Roman" w:cs="Calibri"/>
          <w:b/>
          <w:bCs/>
          <w:sz w:val="24"/>
          <w:szCs w:val="24"/>
          <w:lang w:val="en-US" w:eastAsia="el-GR"/>
        </w:rPr>
        <w:t xml:space="preserve">their cross-section dimensions, </w:t>
      </w:r>
    </w:p>
    <w:p w14:paraId="1FE01348" w14:textId="77777777" w:rsidR="000B139B" w:rsidRDefault="00DB4960">
      <w:pPr>
        <w:pStyle w:val="ListParagraph"/>
        <w:numPr>
          <w:ilvl w:val="0"/>
          <w:numId w:val="3"/>
        </w:numPr>
        <w:spacing w:after="0" w:line="360" w:lineRule="auto"/>
        <w:jc w:val="both"/>
        <w:rPr>
          <w:rFonts w:eastAsia="Times New Roman" w:cs="Calibri"/>
          <w:b/>
          <w:bCs/>
          <w:sz w:val="24"/>
          <w:szCs w:val="24"/>
          <w:lang w:val="en-US" w:eastAsia="el-GR"/>
        </w:rPr>
      </w:pPr>
      <w:r>
        <w:rPr>
          <w:rFonts w:eastAsia="Times New Roman" w:cs="Calibri"/>
          <w:b/>
          <w:bCs/>
          <w:sz w:val="24"/>
          <w:szCs w:val="24"/>
          <w:lang w:val="en-US" w:eastAsia="el-GR"/>
        </w:rPr>
        <w:t xml:space="preserve">their number, and </w:t>
      </w:r>
    </w:p>
    <w:p w14:paraId="7250866C" w14:textId="77777777" w:rsidR="000B139B" w:rsidRDefault="00DB4960">
      <w:pPr>
        <w:pStyle w:val="ListParagraph"/>
        <w:numPr>
          <w:ilvl w:val="0"/>
          <w:numId w:val="3"/>
        </w:numPr>
        <w:spacing w:after="0" w:line="360" w:lineRule="auto"/>
        <w:jc w:val="both"/>
      </w:pPr>
      <w:r>
        <w:rPr>
          <w:rFonts w:eastAsia="Times New Roman" w:cs="Calibri"/>
          <w:b/>
          <w:bCs/>
          <w:sz w:val="24"/>
          <w:szCs w:val="24"/>
          <w:lang w:val="en-US" w:eastAsia="el-GR"/>
        </w:rPr>
        <w:t>their position in the ship’s structure</w:t>
      </w:r>
      <w:r>
        <w:rPr>
          <w:rFonts w:eastAsia="Times New Roman" w:cs="Calibri"/>
          <w:sz w:val="24"/>
          <w:szCs w:val="24"/>
          <w:lang w:val="en-US" w:eastAsia="el-GR"/>
        </w:rPr>
        <w:t xml:space="preserve">. </w:t>
      </w:r>
    </w:p>
    <w:p w14:paraId="1641D233" w14:textId="77777777" w:rsidR="000B139B" w:rsidRDefault="000B139B">
      <w:pPr>
        <w:pStyle w:val="ListParagraph"/>
        <w:spacing w:after="0" w:line="360" w:lineRule="auto"/>
        <w:ind w:left="0"/>
        <w:jc w:val="both"/>
        <w:rPr>
          <w:rFonts w:eastAsia="Times New Roman" w:cs="Calibri"/>
          <w:sz w:val="24"/>
          <w:szCs w:val="24"/>
          <w:lang w:val="en-US" w:eastAsia="el-GR"/>
        </w:rPr>
      </w:pPr>
    </w:p>
    <w:p w14:paraId="7629B6D5" w14:textId="77777777" w:rsidR="000B139B" w:rsidRDefault="00DB4960">
      <w:pPr>
        <w:spacing w:after="0" w:line="360" w:lineRule="auto"/>
        <w:jc w:val="both"/>
      </w:pPr>
      <w:r>
        <w:rPr>
          <w:rFonts w:eastAsia="Times New Roman" w:cs="Calibri"/>
          <w:color w:val="0E101A"/>
          <w:sz w:val="24"/>
          <w:szCs w:val="24"/>
          <w:lang w:val="en-US" w:eastAsia="el-GR"/>
        </w:rPr>
        <w:t>These data, however, were not indicated for all components and sometimes the way they were described was insufficient. The comparative analysis of the process, as described in the contracts, led to the following su</w:t>
      </w:r>
      <w:r>
        <w:rPr>
          <w:rFonts w:eastAsia="Times New Roman" w:cs="Calibri"/>
          <w:color w:val="0E101A"/>
          <w:sz w:val="24"/>
          <w:szCs w:val="24"/>
          <w:lang w:val="en-US" w:eastAsia="el-GR"/>
        </w:rPr>
        <w:t xml:space="preserve">mmary, for each one of the brigs’ key structural elements: </w:t>
      </w:r>
    </w:p>
    <w:p w14:paraId="3957EE15" w14:textId="77777777" w:rsidR="000B139B" w:rsidRDefault="00DB4960">
      <w:pPr>
        <w:pStyle w:val="ListParagraph"/>
        <w:numPr>
          <w:ilvl w:val="3"/>
          <w:numId w:val="4"/>
        </w:numPr>
        <w:spacing w:line="360" w:lineRule="auto"/>
        <w:ind w:left="360"/>
        <w:jc w:val="both"/>
      </w:pPr>
      <w:r>
        <w:rPr>
          <w:rFonts w:eastAsia="Times New Roman" w:cs="Calibri"/>
          <w:b/>
          <w:bCs/>
          <w:color w:val="0E101A"/>
          <w:sz w:val="24"/>
          <w:szCs w:val="24"/>
          <w:lang w:val="en-US" w:eastAsia="el-GR"/>
        </w:rPr>
        <w:t>Keel:</w:t>
      </w:r>
      <w:r>
        <w:rPr>
          <w:rFonts w:cs="Calibri"/>
          <w:sz w:val="24"/>
          <w:szCs w:val="24"/>
          <w:lang w:val="en-US"/>
        </w:rPr>
        <w:t xml:space="preserve"> </w:t>
      </w:r>
      <w:r>
        <w:rPr>
          <w:rFonts w:eastAsia="Times New Roman" w:cs="Calibri"/>
          <w:color w:val="0E101A"/>
          <w:sz w:val="24"/>
          <w:szCs w:val="24"/>
          <w:lang w:val="en-US" w:eastAsia="el-GR"/>
        </w:rPr>
        <w:t xml:space="preserve">when shipwrights referred to it, they usually meant one timber and not one structure comprised of scarf jointed pieces. Moreover, </w:t>
      </w:r>
      <w:r>
        <w:rPr>
          <w:rFonts w:cs="Calibri"/>
          <w:sz w:val="24"/>
          <w:szCs w:val="24"/>
          <w:lang w:val="en-US"/>
        </w:rPr>
        <w:t>a false keel was fastened below the keel for extra protectio</w:t>
      </w:r>
      <w:r>
        <w:rPr>
          <w:rFonts w:cs="Calibri"/>
          <w:sz w:val="24"/>
          <w:szCs w:val="24"/>
          <w:lang w:val="en-US"/>
        </w:rPr>
        <w:t>n</w:t>
      </w:r>
      <w:r>
        <w:rPr>
          <w:rFonts w:eastAsia="Times New Roman" w:cs="Calibri"/>
          <w:color w:val="0E101A"/>
          <w:sz w:val="24"/>
          <w:szCs w:val="24"/>
          <w:lang w:val="en-US" w:eastAsia="el-GR"/>
        </w:rPr>
        <w:t xml:space="preserve"> and, usually in bigger ships, a rising wood was put on top of the keel for better adjustment of the frame timbers. The molded side of its cross section was bigger than the sided.</w:t>
      </w:r>
    </w:p>
    <w:p w14:paraId="7D557A43" w14:textId="77777777" w:rsidR="000B139B" w:rsidRDefault="00DB4960">
      <w:pPr>
        <w:pStyle w:val="ListParagraph"/>
        <w:numPr>
          <w:ilvl w:val="3"/>
          <w:numId w:val="4"/>
        </w:numPr>
        <w:spacing w:line="360" w:lineRule="auto"/>
        <w:ind w:left="360"/>
        <w:jc w:val="both"/>
      </w:pPr>
      <w:r>
        <w:rPr>
          <w:rFonts w:eastAsia="Times New Roman" w:cs="Calibri"/>
          <w:b/>
          <w:bCs/>
          <w:color w:val="0E101A"/>
          <w:sz w:val="24"/>
          <w:szCs w:val="24"/>
          <w:lang w:val="en-US" w:eastAsia="el-GR"/>
        </w:rPr>
        <w:t>Stems and sternposts</w:t>
      </w:r>
      <w:r>
        <w:rPr>
          <w:rFonts w:cs="Calibri"/>
          <w:sz w:val="24"/>
          <w:szCs w:val="24"/>
          <w:lang w:val="en-US"/>
        </w:rPr>
        <w:t xml:space="preserve"> </w:t>
      </w:r>
      <w:r>
        <w:rPr>
          <w:rFonts w:eastAsia="Times New Roman" w:cs="Calibri"/>
          <w:color w:val="0E101A"/>
          <w:sz w:val="24"/>
          <w:szCs w:val="24"/>
          <w:lang w:val="en-US" w:eastAsia="el-GR"/>
        </w:rPr>
        <w:t xml:space="preserve">have the same cross-section dimension with the keel. </w:t>
      </w:r>
    </w:p>
    <w:p w14:paraId="534045FD" w14:textId="77777777" w:rsidR="000B139B" w:rsidRDefault="00DB4960">
      <w:pPr>
        <w:pStyle w:val="ListParagraph"/>
        <w:numPr>
          <w:ilvl w:val="3"/>
          <w:numId w:val="4"/>
        </w:numPr>
        <w:spacing w:after="0" w:line="360" w:lineRule="auto"/>
        <w:ind w:left="360"/>
        <w:jc w:val="both"/>
      </w:pPr>
      <w:r>
        <w:rPr>
          <w:b/>
          <w:bCs/>
          <w:sz w:val="24"/>
          <w:szCs w:val="24"/>
          <w:lang w:val="en-US"/>
        </w:rPr>
        <w:t>Frames:</w:t>
      </w:r>
      <w:r>
        <w:rPr>
          <w:b/>
          <w:bCs/>
          <w:lang w:val="en-US"/>
        </w:rPr>
        <w:t xml:space="preserve"> </w:t>
      </w:r>
      <w:r>
        <w:rPr>
          <w:rFonts w:eastAsia="Times New Roman" w:cs="Calibri"/>
          <w:color w:val="0E101A"/>
          <w:sz w:val="24"/>
          <w:szCs w:val="24"/>
          <w:lang w:val="en-US" w:eastAsia="el-GR"/>
        </w:rPr>
        <w:t>their dimensions given in the contacts concerned double framing. The  in-between distance of most frames was 15.2cm while their number was rarely mentioned. However, if we know the dimensions of the frames’ sided cross-section, the distance between</w:t>
      </w:r>
      <w:r>
        <w:rPr>
          <w:rFonts w:eastAsia="Times New Roman" w:cs="Calibri"/>
          <w:color w:val="0E101A"/>
          <w:sz w:val="24"/>
          <w:szCs w:val="24"/>
          <w:lang w:val="en-US" w:eastAsia="el-GR"/>
        </w:rPr>
        <w:t xml:space="preserve"> them, and the keel's length, then their number could be approximately estimated. (</w:t>
      </w:r>
      <w:r>
        <w:rPr>
          <w:rFonts w:eastAsia="Times New Roman" w:cs="Calibri"/>
          <w:b/>
          <w:bCs/>
          <w:color w:val="0E101A"/>
          <w:sz w:val="24"/>
          <w:szCs w:val="24"/>
          <w:lang w:val="en-US" w:eastAsia="el-GR"/>
        </w:rPr>
        <w:t xml:space="preserve">Fig. </w:t>
      </w:r>
      <w:r>
        <w:rPr>
          <w:rFonts w:eastAsia="Times New Roman" w:cs="Calibri"/>
          <w:b/>
          <w:bCs/>
          <w:color w:val="0E101A"/>
          <w:sz w:val="24"/>
          <w:szCs w:val="24"/>
          <w:lang w:eastAsia="el-GR"/>
        </w:rPr>
        <w:t>6</w:t>
      </w:r>
      <w:r>
        <w:rPr>
          <w:rFonts w:eastAsia="Times New Roman" w:cs="Calibri"/>
          <w:color w:val="0E101A"/>
          <w:sz w:val="24"/>
          <w:szCs w:val="24"/>
          <w:lang w:val="en-US" w:eastAsia="el-GR"/>
        </w:rPr>
        <w:t>).</w:t>
      </w:r>
      <w:r>
        <w:rPr>
          <w:rFonts w:eastAsia="Times New Roman" w:cs="Calibri"/>
          <w:b/>
          <w:bCs/>
          <w:color w:val="0E101A"/>
          <w:sz w:val="24"/>
          <w:szCs w:val="24"/>
          <w:lang w:val="en-US" w:eastAsia="el-GR"/>
        </w:rPr>
        <w:t xml:space="preserve"> </w:t>
      </w:r>
    </w:p>
    <w:tbl>
      <w:tblPr>
        <w:tblW w:w="8306" w:type="dxa"/>
        <w:tblCellMar>
          <w:left w:w="10" w:type="dxa"/>
          <w:right w:w="10" w:type="dxa"/>
        </w:tblCellMar>
        <w:tblLook w:val="04A0" w:firstRow="1" w:lastRow="0" w:firstColumn="1" w:lastColumn="0" w:noHBand="0" w:noVBand="1"/>
      </w:tblPr>
      <w:tblGrid>
        <w:gridCol w:w="8306"/>
      </w:tblGrid>
      <w:tr w:rsidR="000B139B" w14:paraId="51A013A9" w14:textId="77777777">
        <w:tblPrEx>
          <w:tblCellMar>
            <w:top w:w="0" w:type="dxa"/>
            <w:bottom w:w="0" w:type="dxa"/>
          </w:tblCellMar>
        </w:tblPrEx>
        <w:trPr>
          <w:trHeight w:val="7190"/>
        </w:trPr>
        <w:tc>
          <w:tcPr>
            <w:tcW w:w="8306" w:type="dxa"/>
            <w:shd w:val="clear" w:color="auto" w:fill="auto"/>
            <w:tcMar>
              <w:top w:w="0" w:type="dxa"/>
              <w:left w:w="108" w:type="dxa"/>
              <w:bottom w:w="0" w:type="dxa"/>
              <w:right w:w="108" w:type="dxa"/>
            </w:tcMar>
          </w:tcPr>
          <w:p w14:paraId="63C9D93E" w14:textId="77777777" w:rsidR="000B139B" w:rsidRDefault="00DB4960">
            <w:pPr>
              <w:spacing w:after="0" w:line="360" w:lineRule="auto"/>
              <w:jc w:val="center"/>
            </w:pPr>
            <w:r>
              <w:rPr>
                <w:rFonts w:eastAsia="Times New Roman" w:cs="Calibri"/>
                <w:noProof/>
                <w:color w:val="0E101A"/>
                <w:sz w:val="24"/>
                <w:szCs w:val="24"/>
                <w:lang w:val="en-US" w:eastAsia="el-GR"/>
              </w:rPr>
              <w:lastRenderedPageBreak/>
              <w:drawing>
                <wp:inline distT="0" distB="0" distL="0" distR="0" wp14:anchorId="7976C87A" wp14:editId="5CF5D8B2">
                  <wp:extent cx="4610103" cy="4572000"/>
                  <wp:effectExtent l="0" t="0" r="0" b="0"/>
                  <wp:docPr id="6" name="Picture 8"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610103" cy="4572000"/>
                          </a:xfrm>
                          <a:prstGeom prst="rect">
                            <a:avLst/>
                          </a:prstGeom>
                          <a:noFill/>
                          <a:ln>
                            <a:noFill/>
                            <a:prstDash/>
                          </a:ln>
                        </pic:spPr>
                      </pic:pic>
                    </a:graphicData>
                  </a:graphic>
                </wp:inline>
              </w:drawing>
            </w:r>
          </w:p>
        </w:tc>
      </w:tr>
      <w:tr w:rsidR="000B139B" w14:paraId="17772F85" w14:textId="77777777">
        <w:tblPrEx>
          <w:tblCellMar>
            <w:top w:w="0" w:type="dxa"/>
            <w:bottom w:w="0" w:type="dxa"/>
          </w:tblCellMar>
        </w:tblPrEx>
        <w:tc>
          <w:tcPr>
            <w:tcW w:w="8306" w:type="dxa"/>
            <w:shd w:val="clear" w:color="auto" w:fill="auto"/>
            <w:tcMar>
              <w:top w:w="0" w:type="dxa"/>
              <w:left w:w="108" w:type="dxa"/>
              <w:bottom w:w="0" w:type="dxa"/>
              <w:right w:w="108" w:type="dxa"/>
            </w:tcMar>
          </w:tcPr>
          <w:p w14:paraId="051F2911" w14:textId="77777777" w:rsidR="000B139B" w:rsidRDefault="00DB4960">
            <w:pPr>
              <w:spacing w:after="0" w:line="276" w:lineRule="auto"/>
              <w:jc w:val="both"/>
            </w:pPr>
            <w:bookmarkStart w:id="7" w:name="_Hlk59837989"/>
            <w:r>
              <w:rPr>
                <w:rFonts w:eastAsia="Times New Roman" w:cs="Calibri"/>
                <w:b/>
                <w:bCs/>
                <w:color w:val="0E101A"/>
                <w:sz w:val="20"/>
                <w:szCs w:val="20"/>
                <w:lang w:val="en-US" w:eastAsia="el-GR"/>
              </w:rPr>
              <w:t>Figure 6</w:t>
            </w:r>
            <w:r>
              <w:rPr>
                <w:rFonts w:eastAsia="Times New Roman" w:cs="Calibri"/>
                <w:color w:val="0E101A"/>
                <w:sz w:val="20"/>
                <w:szCs w:val="20"/>
                <w:lang w:val="en-US" w:eastAsia="el-GR"/>
              </w:rPr>
              <w:t xml:space="preserve">: Drawings indicate the frames’ number after three study’s estimation. The number was estimated according to the L.K. </w:t>
            </w:r>
            <w:bookmarkEnd w:id="7"/>
          </w:p>
        </w:tc>
      </w:tr>
    </w:tbl>
    <w:p w14:paraId="5266B996" w14:textId="77777777" w:rsidR="000B139B" w:rsidRDefault="000B139B">
      <w:pPr>
        <w:pStyle w:val="ListParagraph"/>
        <w:spacing w:after="0" w:line="360" w:lineRule="auto"/>
        <w:ind w:left="360"/>
        <w:jc w:val="both"/>
        <w:rPr>
          <w:lang w:val="en-US"/>
        </w:rPr>
      </w:pPr>
    </w:p>
    <w:p w14:paraId="49EA9924" w14:textId="77777777" w:rsidR="000B139B" w:rsidRDefault="00DB4960">
      <w:pPr>
        <w:pStyle w:val="ListParagraph"/>
        <w:numPr>
          <w:ilvl w:val="3"/>
          <w:numId w:val="4"/>
        </w:numPr>
        <w:spacing w:line="360" w:lineRule="auto"/>
        <w:ind w:left="360"/>
        <w:jc w:val="both"/>
      </w:pPr>
      <w:r>
        <w:rPr>
          <w:rFonts w:cs="Calibri"/>
          <w:b/>
          <w:bCs/>
          <w:sz w:val="24"/>
          <w:szCs w:val="24"/>
          <w:lang w:val="en-US"/>
        </w:rPr>
        <w:t>Keelson</w:t>
      </w:r>
      <w:r>
        <w:rPr>
          <w:rFonts w:cs="Calibri"/>
          <w:sz w:val="24"/>
          <w:szCs w:val="24"/>
          <w:lang w:val="en-US"/>
        </w:rPr>
        <w:t xml:space="preserve"> </w:t>
      </w:r>
      <w:r>
        <w:rPr>
          <w:rFonts w:eastAsia="Times New Roman" w:cs="Calibri"/>
          <w:color w:val="0E101A"/>
          <w:sz w:val="24"/>
          <w:szCs w:val="24"/>
          <w:lang w:val="en-US" w:eastAsia="el-GR"/>
        </w:rPr>
        <w:t xml:space="preserve">was composed of one </w:t>
      </w:r>
      <w:r>
        <w:rPr>
          <w:rFonts w:eastAsia="Times New Roman" w:cs="Calibri"/>
          <w:color w:val="0E101A"/>
          <w:sz w:val="24"/>
          <w:szCs w:val="24"/>
          <w:lang w:val="en-US" w:eastAsia="el-GR"/>
        </w:rPr>
        <w:t>board or two scarfed shaped timbers, it is bigger than the keel, and mainly squared shaped (</w:t>
      </w:r>
      <w:r>
        <w:rPr>
          <w:rFonts w:eastAsia="Times New Roman" w:cs="Calibri"/>
          <w:b/>
          <w:bCs/>
          <w:color w:val="0E101A"/>
          <w:sz w:val="24"/>
          <w:szCs w:val="24"/>
          <w:lang w:val="en-US" w:eastAsia="el-GR"/>
        </w:rPr>
        <w:t>Fig.7</w:t>
      </w:r>
      <w:r>
        <w:rPr>
          <w:rFonts w:eastAsia="Times New Roman" w:cs="Calibri"/>
          <w:color w:val="0E101A"/>
          <w:sz w:val="24"/>
          <w:szCs w:val="24"/>
          <w:lang w:val="en-US" w:eastAsia="el-GR"/>
        </w:rPr>
        <w:t>)</w:t>
      </w:r>
    </w:p>
    <w:tbl>
      <w:tblPr>
        <w:tblW w:w="8176" w:type="dxa"/>
        <w:jc w:val="center"/>
        <w:tblCellMar>
          <w:left w:w="10" w:type="dxa"/>
          <w:right w:w="10" w:type="dxa"/>
        </w:tblCellMar>
        <w:tblLook w:val="04A0" w:firstRow="1" w:lastRow="0" w:firstColumn="1" w:lastColumn="0" w:noHBand="0" w:noVBand="1"/>
      </w:tblPr>
      <w:tblGrid>
        <w:gridCol w:w="90"/>
        <w:gridCol w:w="8206"/>
      </w:tblGrid>
      <w:tr w:rsidR="000B139B" w14:paraId="09D2688C" w14:textId="77777777">
        <w:tblPrEx>
          <w:tblCellMar>
            <w:top w:w="0" w:type="dxa"/>
            <w:bottom w:w="0" w:type="dxa"/>
          </w:tblCellMar>
        </w:tblPrEx>
        <w:trPr>
          <w:trHeight w:val="3518"/>
          <w:jc w:val="center"/>
        </w:trPr>
        <w:tc>
          <w:tcPr>
            <w:tcW w:w="8286" w:type="dxa"/>
            <w:gridSpan w:val="2"/>
            <w:shd w:val="clear" w:color="auto" w:fill="auto"/>
            <w:tcMar>
              <w:top w:w="0" w:type="dxa"/>
              <w:left w:w="108" w:type="dxa"/>
              <w:bottom w:w="0" w:type="dxa"/>
              <w:right w:w="108" w:type="dxa"/>
            </w:tcMar>
          </w:tcPr>
          <w:p w14:paraId="4801D843" w14:textId="77777777" w:rsidR="000B139B" w:rsidRDefault="00DB4960">
            <w:pPr>
              <w:spacing w:after="0" w:line="360" w:lineRule="auto"/>
              <w:jc w:val="center"/>
            </w:pPr>
            <w:r>
              <w:rPr>
                <w:noProof/>
                <w:lang w:val="en-US"/>
              </w:rPr>
              <w:drawing>
                <wp:inline distT="0" distB="0" distL="0" distR="0" wp14:anchorId="5E87167B" wp14:editId="7F764326">
                  <wp:extent cx="5124453" cy="2133596"/>
                  <wp:effectExtent l="0" t="0" r="6347" b="4"/>
                  <wp:docPr id="7" name="Picture 7"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124453" cy="2133596"/>
                          </a:xfrm>
                          <a:prstGeom prst="rect">
                            <a:avLst/>
                          </a:prstGeom>
                          <a:noFill/>
                          <a:ln>
                            <a:noFill/>
                            <a:prstDash/>
                          </a:ln>
                        </pic:spPr>
                      </pic:pic>
                    </a:graphicData>
                  </a:graphic>
                </wp:inline>
              </w:drawing>
            </w:r>
          </w:p>
        </w:tc>
      </w:tr>
      <w:tr w:rsidR="000B139B" w14:paraId="2166A9F5" w14:textId="77777777">
        <w:tblPrEx>
          <w:tblCellMar>
            <w:top w:w="0" w:type="dxa"/>
            <w:bottom w:w="0" w:type="dxa"/>
          </w:tblCellMar>
        </w:tblPrEx>
        <w:trPr>
          <w:trHeight w:val="197"/>
          <w:jc w:val="center"/>
        </w:trPr>
        <w:tc>
          <w:tcPr>
            <w:tcW w:w="75" w:type="dxa"/>
            <w:shd w:val="clear" w:color="auto" w:fill="auto"/>
            <w:tcMar>
              <w:top w:w="0" w:type="dxa"/>
              <w:left w:w="10" w:type="dxa"/>
              <w:bottom w:w="0" w:type="dxa"/>
              <w:right w:w="10" w:type="dxa"/>
            </w:tcMar>
          </w:tcPr>
          <w:p w14:paraId="68016D0B" w14:textId="77777777" w:rsidR="000B139B" w:rsidRDefault="000B139B">
            <w:pPr>
              <w:spacing w:after="0" w:line="360" w:lineRule="auto"/>
              <w:jc w:val="both"/>
            </w:pPr>
          </w:p>
        </w:tc>
        <w:tc>
          <w:tcPr>
            <w:tcW w:w="8211" w:type="dxa"/>
            <w:shd w:val="clear" w:color="auto" w:fill="auto"/>
            <w:tcMar>
              <w:top w:w="0" w:type="dxa"/>
              <w:left w:w="108" w:type="dxa"/>
              <w:bottom w:w="0" w:type="dxa"/>
              <w:right w:w="108" w:type="dxa"/>
            </w:tcMar>
          </w:tcPr>
          <w:p w14:paraId="19C122F4" w14:textId="77777777" w:rsidR="000B139B" w:rsidRDefault="00DB4960">
            <w:pPr>
              <w:spacing w:after="0" w:line="360" w:lineRule="auto"/>
              <w:jc w:val="both"/>
            </w:pPr>
            <w:bookmarkStart w:id="8" w:name="_Hlk59839479"/>
            <w:r>
              <w:rPr>
                <w:b/>
                <w:bCs/>
                <w:sz w:val="20"/>
                <w:szCs w:val="20"/>
                <w:lang w:val="en-US"/>
              </w:rPr>
              <w:t>Figure 7</w:t>
            </w:r>
            <w:r>
              <w:rPr>
                <w:sz w:val="20"/>
                <w:szCs w:val="20"/>
                <w:lang w:val="en-US"/>
              </w:rPr>
              <w:t>: Keelsons’ shape and size compared to the keels</w:t>
            </w:r>
            <w:bookmarkEnd w:id="8"/>
          </w:p>
        </w:tc>
      </w:tr>
    </w:tbl>
    <w:p w14:paraId="7A92E222" w14:textId="77777777" w:rsidR="000B139B" w:rsidRDefault="000B139B">
      <w:pPr>
        <w:spacing w:line="360" w:lineRule="auto"/>
        <w:jc w:val="both"/>
        <w:rPr>
          <w:lang w:val="en-US"/>
        </w:rPr>
      </w:pPr>
    </w:p>
    <w:p w14:paraId="6FFA3327" w14:textId="77777777" w:rsidR="000B139B" w:rsidRDefault="00DB4960">
      <w:pPr>
        <w:pStyle w:val="ListParagraph"/>
        <w:numPr>
          <w:ilvl w:val="3"/>
          <w:numId w:val="4"/>
        </w:numPr>
        <w:spacing w:line="360" w:lineRule="auto"/>
        <w:ind w:left="360"/>
        <w:jc w:val="both"/>
      </w:pPr>
      <w:r>
        <w:rPr>
          <w:rFonts w:cs="Calibri"/>
          <w:sz w:val="24"/>
          <w:szCs w:val="24"/>
          <w:lang w:val="en-US"/>
        </w:rPr>
        <w:lastRenderedPageBreak/>
        <w:t xml:space="preserve">The </w:t>
      </w:r>
      <w:proofErr w:type="spellStart"/>
      <w:r>
        <w:rPr>
          <w:rFonts w:cs="Calibri"/>
          <w:b/>
          <w:bCs/>
          <w:sz w:val="24"/>
          <w:szCs w:val="24"/>
          <w:lang w:val="en-US"/>
        </w:rPr>
        <w:t>footwales</w:t>
      </w:r>
      <w:proofErr w:type="spellEnd"/>
      <w:r>
        <w:rPr>
          <w:rFonts w:cs="Calibri"/>
          <w:sz w:val="24"/>
          <w:szCs w:val="24"/>
          <w:lang w:val="en-US"/>
        </w:rPr>
        <w:t xml:space="preserve"> (stringers) </w:t>
      </w:r>
      <w:r>
        <w:rPr>
          <w:rFonts w:eastAsia="Times New Roman" w:cs="Calibri"/>
          <w:color w:val="0E101A"/>
          <w:sz w:val="24"/>
          <w:szCs w:val="24"/>
          <w:lang w:val="en-US" w:eastAsia="el-GR"/>
        </w:rPr>
        <w:t xml:space="preserve">are thicker than the rest of the ceiling planks and their </w:t>
      </w:r>
      <w:r>
        <w:rPr>
          <w:rFonts w:eastAsia="Times New Roman" w:cs="Calibri"/>
          <w:color w:val="0E101A"/>
          <w:sz w:val="24"/>
          <w:szCs w:val="24"/>
          <w:lang w:val="en-US" w:eastAsia="el-GR"/>
        </w:rPr>
        <w:t>number varied from 4 to 6 on each side. They were probably divided over the ship’s sides, but no details were specified.  </w:t>
      </w:r>
    </w:p>
    <w:p w14:paraId="6C89424C" w14:textId="77777777" w:rsidR="000B139B" w:rsidRDefault="00DB4960">
      <w:pPr>
        <w:pStyle w:val="ListParagraph"/>
        <w:numPr>
          <w:ilvl w:val="3"/>
          <w:numId w:val="4"/>
        </w:numPr>
        <w:spacing w:line="360" w:lineRule="auto"/>
        <w:ind w:left="360"/>
        <w:jc w:val="both"/>
      </w:pPr>
      <w:r>
        <w:rPr>
          <w:rFonts w:cs="Calibri"/>
          <w:b/>
          <w:bCs/>
          <w:sz w:val="24"/>
          <w:szCs w:val="24"/>
          <w:lang w:val="en-US"/>
        </w:rPr>
        <w:t>Shelf clamps</w:t>
      </w:r>
      <w:r>
        <w:rPr>
          <w:rFonts w:cs="Calibri"/>
          <w:sz w:val="24"/>
          <w:szCs w:val="24"/>
          <w:lang w:val="en-US"/>
        </w:rPr>
        <w:t xml:space="preserve"> were positioned below the main and lower decks. Larger ships </w:t>
      </w:r>
      <w:r>
        <w:rPr>
          <w:rFonts w:eastAsia="Times New Roman" w:cs="Calibri"/>
          <w:color w:val="0E101A"/>
          <w:sz w:val="24"/>
          <w:szCs w:val="24"/>
          <w:lang w:val="en-US" w:eastAsia="el-GR"/>
        </w:rPr>
        <w:t xml:space="preserve">had two or three shelf clamps under each deck and those of </w:t>
      </w:r>
      <w:r>
        <w:rPr>
          <w:rFonts w:eastAsia="Times New Roman" w:cs="Calibri"/>
          <w:color w:val="0E101A"/>
          <w:sz w:val="24"/>
          <w:szCs w:val="24"/>
          <w:lang w:val="en-US" w:eastAsia="el-GR"/>
        </w:rPr>
        <w:t xml:space="preserve">the lower deck were slightly smaller than those of the upper (main) deck. </w:t>
      </w:r>
    </w:p>
    <w:p w14:paraId="68C1436F" w14:textId="77777777" w:rsidR="000B139B" w:rsidRDefault="00DB4960">
      <w:pPr>
        <w:pStyle w:val="ListParagraph"/>
        <w:numPr>
          <w:ilvl w:val="3"/>
          <w:numId w:val="4"/>
        </w:numPr>
        <w:spacing w:line="360" w:lineRule="auto"/>
        <w:ind w:left="360"/>
        <w:jc w:val="both"/>
      </w:pPr>
      <w:r>
        <w:rPr>
          <w:rFonts w:cs="Calibri"/>
          <w:b/>
          <w:bCs/>
          <w:sz w:val="24"/>
          <w:szCs w:val="24"/>
          <w:lang w:val="en-US"/>
        </w:rPr>
        <w:t>Clamps</w:t>
      </w:r>
      <w:r>
        <w:rPr>
          <w:rFonts w:cs="Calibri"/>
          <w:sz w:val="24"/>
          <w:szCs w:val="24"/>
          <w:lang w:val="en-US"/>
        </w:rPr>
        <w:t>, usually positioned below shelf clamps have a complementary role, and their</w:t>
      </w:r>
      <w:r>
        <w:rPr>
          <w:rFonts w:eastAsia="Times New Roman" w:cs="Calibri"/>
          <w:color w:val="0E101A"/>
          <w:sz w:val="24"/>
          <w:szCs w:val="24"/>
          <w:lang w:val="en-US" w:eastAsia="el-GR"/>
        </w:rPr>
        <w:t xml:space="preserve"> thickness was similar to this of </w:t>
      </w:r>
      <w:proofErr w:type="spellStart"/>
      <w:r>
        <w:rPr>
          <w:rFonts w:eastAsia="Times New Roman" w:cs="Calibri"/>
          <w:color w:val="0E101A"/>
          <w:sz w:val="24"/>
          <w:szCs w:val="24"/>
          <w:lang w:val="en-US" w:eastAsia="el-GR"/>
        </w:rPr>
        <w:t>footwales</w:t>
      </w:r>
      <w:proofErr w:type="spellEnd"/>
      <w:r>
        <w:rPr>
          <w:rFonts w:eastAsia="Times New Roman" w:cs="Calibri"/>
          <w:color w:val="0E101A"/>
          <w:sz w:val="24"/>
          <w:szCs w:val="24"/>
          <w:lang w:val="en-US" w:eastAsia="el-GR"/>
        </w:rPr>
        <w:t xml:space="preserve">. </w:t>
      </w:r>
    </w:p>
    <w:p w14:paraId="5944F3D5" w14:textId="77777777" w:rsidR="000B139B" w:rsidRDefault="00DB4960">
      <w:pPr>
        <w:pStyle w:val="ListParagraph"/>
        <w:numPr>
          <w:ilvl w:val="3"/>
          <w:numId w:val="4"/>
        </w:numPr>
        <w:spacing w:line="360" w:lineRule="auto"/>
        <w:ind w:left="360"/>
        <w:jc w:val="both"/>
      </w:pPr>
      <w:r>
        <w:rPr>
          <w:rFonts w:eastAsia="Times New Roman" w:cs="Calibri"/>
          <w:color w:val="0E101A"/>
          <w:sz w:val="24"/>
          <w:szCs w:val="24"/>
          <w:lang w:val="en-US" w:eastAsia="el-GR"/>
        </w:rPr>
        <w:t xml:space="preserve">Some of the contracts referred to another </w:t>
      </w:r>
      <w:r>
        <w:rPr>
          <w:rFonts w:eastAsia="Times New Roman" w:cs="Calibri"/>
          <w:color w:val="0E101A"/>
          <w:sz w:val="24"/>
          <w:szCs w:val="24"/>
          <w:lang w:val="en-US" w:eastAsia="el-GR"/>
        </w:rPr>
        <w:t>longitudinal element, the "</w:t>
      </w:r>
      <w:proofErr w:type="spellStart"/>
      <w:r>
        <w:rPr>
          <w:rFonts w:eastAsia="Times New Roman" w:cs="Calibri"/>
          <w:b/>
          <w:bCs/>
          <w:i/>
          <w:iCs/>
          <w:color w:val="0E101A"/>
          <w:sz w:val="24"/>
          <w:szCs w:val="24"/>
          <w:lang w:val="en-US" w:eastAsia="el-GR"/>
        </w:rPr>
        <w:t>gyali</w:t>
      </w:r>
      <w:proofErr w:type="spellEnd"/>
      <w:r>
        <w:rPr>
          <w:rFonts w:eastAsia="Times New Roman" w:cs="Calibri"/>
          <w:b/>
          <w:bCs/>
          <w:i/>
          <w:iCs/>
          <w:color w:val="0E101A"/>
          <w:sz w:val="24"/>
          <w:szCs w:val="24"/>
          <w:lang w:val="en-US" w:eastAsia="el-GR"/>
        </w:rPr>
        <w:t xml:space="preserve"> </w:t>
      </w:r>
      <w:proofErr w:type="spellStart"/>
      <w:r>
        <w:rPr>
          <w:rFonts w:eastAsia="Times New Roman" w:cs="Calibri"/>
          <w:b/>
          <w:bCs/>
          <w:i/>
          <w:iCs/>
          <w:color w:val="0E101A"/>
          <w:sz w:val="24"/>
          <w:szCs w:val="24"/>
          <w:lang w:val="en-US" w:eastAsia="el-GR"/>
        </w:rPr>
        <w:t>koutouki</w:t>
      </w:r>
      <w:proofErr w:type="spellEnd"/>
      <w:r>
        <w:rPr>
          <w:rFonts w:eastAsia="Times New Roman" w:cs="Calibri"/>
          <w:color w:val="0E101A"/>
          <w:sz w:val="24"/>
          <w:szCs w:val="24"/>
          <w:lang w:val="en-US" w:eastAsia="el-GR"/>
        </w:rPr>
        <w:t>" which remains an unknown term. It is located under decks, extending from the stern's bulkhead to the bow's stem post. It was usually notched and attached on the beams' hanging knees. Its shape and size are similar</w:t>
      </w:r>
      <w:r>
        <w:rPr>
          <w:rFonts w:eastAsia="Times New Roman" w:cs="Calibri"/>
          <w:color w:val="0E101A"/>
          <w:sz w:val="24"/>
          <w:szCs w:val="24"/>
          <w:lang w:val="en-US" w:eastAsia="el-GR"/>
        </w:rPr>
        <w:t xml:space="preserve"> to the shelf clamps. </w:t>
      </w:r>
    </w:p>
    <w:p w14:paraId="454B0B8B" w14:textId="77777777" w:rsidR="000B139B" w:rsidRDefault="00DB4960">
      <w:pPr>
        <w:pStyle w:val="ListParagraph"/>
        <w:numPr>
          <w:ilvl w:val="3"/>
          <w:numId w:val="4"/>
        </w:numPr>
        <w:spacing w:line="360" w:lineRule="auto"/>
        <w:ind w:left="360"/>
        <w:jc w:val="both"/>
      </w:pPr>
      <w:r>
        <w:rPr>
          <w:rStyle w:val="a"/>
          <w:rFonts w:cs="Calibri"/>
          <w:b/>
          <w:bCs/>
          <w:sz w:val="24"/>
          <w:szCs w:val="24"/>
          <w:lang w:val="en-US"/>
        </w:rPr>
        <w:t>Beams and ledges or half beams</w:t>
      </w:r>
      <w:r>
        <w:rPr>
          <w:rStyle w:val="a"/>
          <w:rFonts w:cs="Calibri"/>
          <w:sz w:val="24"/>
          <w:szCs w:val="24"/>
          <w:lang w:val="en-US"/>
        </w:rPr>
        <w:t xml:space="preserve">: </w:t>
      </w:r>
      <w:r>
        <w:rPr>
          <w:rFonts w:eastAsia="Times New Roman" w:cs="Calibri"/>
          <w:color w:val="0E101A"/>
          <w:sz w:val="24"/>
          <w:szCs w:val="24"/>
          <w:lang w:val="en-US" w:eastAsia="el-GR"/>
        </w:rPr>
        <w:t>The lower deck beams were bigger in cross-section than the upper deck ones, but both were nearly square-shaped. According to their data analysis, ledges’ number and pattern can be approximately estimat</w:t>
      </w:r>
      <w:r>
        <w:rPr>
          <w:rFonts w:eastAsia="Times New Roman" w:cs="Calibri"/>
          <w:color w:val="0E101A"/>
          <w:sz w:val="24"/>
          <w:szCs w:val="24"/>
          <w:lang w:val="en-US" w:eastAsia="el-GR"/>
        </w:rPr>
        <w:t>ed if we know their cross-section measurements, the beams number, the in-between distance of ledges and the keel’s length (</w:t>
      </w:r>
      <w:r>
        <w:rPr>
          <w:rFonts w:eastAsia="Times New Roman" w:cs="Calibri"/>
          <w:b/>
          <w:bCs/>
          <w:color w:val="0E101A"/>
          <w:sz w:val="24"/>
          <w:szCs w:val="24"/>
          <w:lang w:val="en-US" w:eastAsia="el-GR"/>
        </w:rPr>
        <w:t>Fig. 8</w:t>
      </w:r>
      <w:r>
        <w:rPr>
          <w:rFonts w:eastAsia="Times New Roman" w:cs="Calibri"/>
          <w:color w:val="0E101A"/>
          <w:sz w:val="24"/>
          <w:szCs w:val="24"/>
          <w:lang w:val="en-US" w:eastAsia="el-GR"/>
        </w:rPr>
        <w:t>). According to this analysis, both the positioning and dimensions of ledges and beams were related to those of the frames (</w:t>
      </w:r>
      <w:r>
        <w:rPr>
          <w:rFonts w:eastAsia="Times New Roman" w:cs="Calibri"/>
          <w:b/>
          <w:bCs/>
          <w:color w:val="0E101A"/>
          <w:sz w:val="24"/>
          <w:szCs w:val="24"/>
          <w:lang w:val="en-US" w:eastAsia="el-GR"/>
        </w:rPr>
        <w:t>Fig</w:t>
      </w:r>
      <w:r>
        <w:rPr>
          <w:rFonts w:eastAsia="Times New Roman" w:cs="Calibri"/>
          <w:b/>
          <w:bCs/>
          <w:color w:val="0E101A"/>
          <w:sz w:val="24"/>
          <w:szCs w:val="24"/>
          <w:lang w:val="en-US" w:eastAsia="el-GR"/>
        </w:rPr>
        <w:t>. 9</w:t>
      </w:r>
      <w:r>
        <w:rPr>
          <w:rFonts w:eastAsia="Times New Roman" w:cs="Calibri"/>
          <w:color w:val="0E101A"/>
          <w:sz w:val="24"/>
          <w:szCs w:val="24"/>
          <w:lang w:val="en-US" w:eastAsia="el-GR"/>
        </w:rPr>
        <w:t>).</w:t>
      </w:r>
    </w:p>
    <w:tbl>
      <w:tblPr>
        <w:tblW w:w="8046" w:type="dxa"/>
        <w:jc w:val="center"/>
        <w:tblCellMar>
          <w:left w:w="10" w:type="dxa"/>
          <w:right w:w="10" w:type="dxa"/>
        </w:tblCellMar>
        <w:tblLook w:val="04A0" w:firstRow="1" w:lastRow="0" w:firstColumn="1" w:lastColumn="0" w:noHBand="0" w:noVBand="1"/>
      </w:tblPr>
      <w:tblGrid>
        <w:gridCol w:w="8306"/>
      </w:tblGrid>
      <w:tr w:rsidR="000B139B" w14:paraId="7B14C3D3" w14:textId="77777777">
        <w:tblPrEx>
          <w:tblCellMar>
            <w:top w:w="0" w:type="dxa"/>
            <w:bottom w:w="0" w:type="dxa"/>
          </w:tblCellMar>
        </w:tblPrEx>
        <w:trPr>
          <w:trHeight w:val="2654"/>
          <w:jc w:val="center"/>
        </w:trPr>
        <w:tc>
          <w:tcPr>
            <w:tcW w:w="8306" w:type="dxa"/>
            <w:shd w:val="clear" w:color="auto" w:fill="auto"/>
            <w:tcMar>
              <w:top w:w="0" w:type="dxa"/>
              <w:left w:w="108" w:type="dxa"/>
              <w:bottom w:w="0" w:type="dxa"/>
              <w:right w:w="108" w:type="dxa"/>
            </w:tcMar>
          </w:tcPr>
          <w:p w14:paraId="6B06B32D" w14:textId="77777777" w:rsidR="000B139B" w:rsidRDefault="00DB4960">
            <w:pPr>
              <w:spacing w:after="0" w:line="360" w:lineRule="auto"/>
              <w:jc w:val="center"/>
            </w:pPr>
            <w:r>
              <w:rPr>
                <w:rFonts w:eastAsia="Times New Roman" w:cs="Calibri"/>
                <w:noProof/>
                <w:color w:val="0E101A"/>
                <w:sz w:val="24"/>
                <w:szCs w:val="24"/>
                <w:lang w:val="en-US" w:eastAsia="el-GR"/>
              </w:rPr>
              <w:drawing>
                <wp:inline distT="0" distB="0" distL="0" distR="0" wp14:anchorId="76FAFA2B" wp14:editId="155C3D15">
                  <wp:extent cx="5010153" cy="1619246"/>
                  <wp:effectExtent l="0" t="0" r="6347" b="0"/>
                  <wp:docPr id="8"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010153" cy="1619246"/>
                          </a:xfrm>
                          <a:prstGeom prst="rect">
                            <a:avLst/>
                          </a:prstGeom>
                          <a:noFill/>
                          <a:ln>
                            <a:noFill/>
                            <a:prstDash/>
                          </a:ln>
                        </pic:spPr>
                      </pic:pic>
                    </a:graphicData>
                  </a:graphic>
                </wp:inline>
              </w:drawing>
            </w:r>
          </w:p>
        </w:tc>
      </w:tr>
      <w:tr w:rsidR="000B139B" w14:paraId="0BDC3E2D" w14:textId="77777777">
        <w:tblPrEx>
          <w:tblCellMar>
            <w:top w:w="0" w:type="dxa"/>
            <w:bottom w:w="0" w:type="dxa"/>
          </w:tblCellMar>
        </w:tblPrEx>
        <w:trPr>
          <w:trHeight w:val="327"/>
          <w:jc w:val="center"/>
        </w:trPr>
        <w:tc>
          <w:tcPr>
            <w:tcW w:w="8306" w:type="dxa"/>
            <w:shd w:val="clear" w:color="auto" w:fill="auto"/>
            <w:tcMar>
              <w:top w:w="0" w:type="dxa"/>
              <w:left w:w="108" w:type="dxa"/>
              <w:bottom w:w="0" w:type="dxa"/>
              <w:right w:w="108" w:type="dxa"/>
            </w:tcMar>
          </w:tcPr>
          <w:p w14:paraId="66A966DE" w14:textId="77777777" w:rsidR="000B139B" w:rsidRDefault="00DB4960">
            <w:pPr>
              <w:spacing w:after="0" w:line="276" w:lineRule="auto"/>
              <w:jc w:val="both"/>
            </w:pPr>
            <w:bookmarkStart w:id="9" w:name="_Hlk59846902"/>
            <w:r>
              <w:rPr>
                <w:rFonts w:eastAsia="Times New Roman" w:cs="Calibri"/>
                <w:b/>
                <w:bCs/>
                <w:color w:val="0E101A"/>
                <w:sz w:val="20"/>
                <w:szCs w:val="20"/>
                <w:lang w:val="en-US" w:eastAsia="el-GR"/>
              </w:rPr>
              <w:t>Figure 8:</w:t>
            </w:r>
            <w:r>
              <w:rPr>
                <w:rFonts w:eastAsia="Times New Roman" w:cs="Calibri"/>
                <w:color w:val="0E101A"/>
                <w:sz w:val="20"/>
                <w:szCs w:val="20"/>
                <w:lang w:val="en-US" w:eastAsia="el-GR"/>
              </w:rPr>
              <w:t xml:space="preserve"> The drawing represents the estimated number and pattern of AYIOS DIONISIOS beams and ledges contract data. </w:t>
            </w:r>
            <w:bookmarkEnd w:id="9"/>
          </w:p>
        </w:tc>
      </w:tr>
      <w:tr w:rsidR="000B139B" w14:paraId="7DB86236" w14:textId="77777777">
        <w:tblPrEx>
          <w:tblCellMar>
            <w:top w:w="0" w:type="dxa"/>
            <w:bottom w:w="0" w:type="dxa"/>
          </w:tblCellMar>
        </w:tblPrEx>
        <w:trPr>
          <w:trHeight w:val="327"/>
          <w:jc w:val="center"/>
        </w:trPr>
        <w:tc>
          <w:tcPr>
            <w:tcW w:w="8306" w:type="dxa"/>
            <w:shd w:val="clear" w:color="auto" w:fill="auto"/>
            <w:tcMar>
              <w:top w:w="0" w:type="dxa"/>
              <w:left w:w="108" w:type="dxa"/>
              <w:bottom w:w="0" w:type="dxa"/>
              <w:right w:w="108" w:type="dxa"/>
            </w:tcMar>
          </w:tcPr>
          <w:p w14:paraId="1B49EA90" w14:textId="77777777" w:rsidR="000B139B" w:rsidRDefault="00DB4960">
            <w:pPr>
              <w:spacing w:after="0" w:line="276" w:lineRule="auto"/>
              <w:jc w:val="both"/>
            </w:pPr>
            <w:r>
              <w:rPr>
                <w:rFonts w:eastAsia="Times New Roman" w:cs="Calibri"/>
                <w:b/>
                <w:noProof/>
                <w:color w:val="0E101A"/>
                <w:sz w:val="20"/>
                <w:szCs w:val="20"/>
                <w:lang w:val="en-US" w:eastAsia="el-GR"/>
              </w:rPr>
              <w:lastRenderedPageBreak/>
              <w:drawing>
                <wp:inline distT="0" distB="0" distL="0" distR="0" wp14:anchorId="0EA0130B" wp14:editId="2E073A41">
                  <wp:extent cx="5153028" cy="1438278"/>
                  <wp:effectExtent l="0" t="0" r="3172" b="0"/>
                  <wp:docPr id="9" name="Picture 5"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153028" cy="1438278"/>
                          </a:xfrm>
                          <a:prstGeom prst="rect">
                            <a:avLst/>
                          </a:prstGeom>
                          <a:noFill/>
                          <a:ln>
                            <a:noFill/>
                            <a:prstDash/>
                          </a:ln>
                        </pic:spPr>
                      </pic:pic>
                    </a:graphicData>
                  </a:graphic>
                </wp:inline>
              </w:drawing>
            </w:r>
          </w:p>
        </w:tc>
      </w:tr>
      <w:tr w:rsidR="000B139B" w14:paraId="688B14E7" w14:textId="77777777">
        <w:tblPrEx>
          <w:tblCellMar>
            <w:top w:w="0" w:type="dxa"/>
            <w:bottom w:w="0" w:type="dxa"/>
          </w:tblCellMar>
        </w:tblPrEx>
        <w:trPr>
          <w:trHeight w:val="327"/>
          <w:jc w:val="center"/>
        </w:trPr>
        <w:tc>
          <w:tcPr>
            <w:tcW w:w="8306" w:type="dxa"/>
            <w:shd w:val="clear" w:color="auto" w:fill="auto"/>
            <w:tcMar>
              <w:top w:w="0" w:type="dxa"/>
              <w:left w:w="108" w:type="dxa"/>
              <w:bottom w:w="0" w:type="dxa"/>
              <w:right w:w="108" w:type="dxa"/>
            </w:tcMar>
          </w:tcPr>
          <w:p w14:paraId="259CB1E5" w14:textId="77777777" w:rsidR="000B139B" w:rsidRDefault="00DB4960">
            <w:pPr>
              <w:spacing w:after="0" w:line="276" w:lineRule="auto"/>
              <w:jc w:val="both"/>
              <w:rPr>
                <w:rFonts w:eastAsia="Times New Roman" w:cs="Calibri"/>
                <w:b/>
                <w:bCs/>
                <w:color w:val="0E101A"/>
                <w:sz w:val="20"/>
                <w:szCs w:val="20"/>
                <w:lang w:val="en-US" w:eastAsia="el-GR"/>
              </w:rPr>
            </w:pPr>
            <w:bookmarkStart w:id="10" w:name="_Hlk59871108"/>
            <w:r>
              <w:rPr>
                <w:rFonts w:eastAsia="Times New Roman" w:cs="Calibri"/>
                <w:b/>
                <w:bCs/>
                <w:color w:val="0E101A"/>
                <w:sz w:val="20"/>
                <w:szCs w:val="20"/>
                <w:lang w:val="en-US" w:eastAsia="el-GR"/>
              </w:rPr>
              <w:t>Figure 9: The frames’ and beams’ (green color) size and in-between distance relation</w:t>
            </w:r>
            <w:bookmarkEnd w:id="10"/>
          </w:p>
          <w:p w14:paraId="076176D6" w14:textId="77777777" w:rsidR="000B139B" w:rsidRDefault="000B139B">
            <w:pPr>
              <w:spacing w:after="0" w:line="276" w:lineRule="auto"/>
              <w:jc w:val="both"/>
              <w:rPr>
                <w:rFonts w:eastAsia="Times New Roman" w:cs="Calibri"/>
                <w:b/>
                <w:bCs/>
                <w:color w:val="0E101A"/>
                <w:sz w:val="20"/>
                <w:szCs w:val="20"/>
                <w:lang w:val="en-US" w:eastAsia="el-GR"/>
              </w:rPr>
            </w:pPr>
          </w:p>
          <w:p w14:paraId="41189EA6" w14:textId="77777777" w:rsidR="000B139B" w:rsidRDefault="000B139B">
            <w:pPr>
              <w:spacing w:after="0" w:line="276" w:lineRule="auto"/>
              <w:jc w:val="both"/>
              <w:rPr>
                <w:rFonts w:eastAsia="Times New Roman" w:cs="Calibri"/>
                <w:b/>
                <w:bCs/>
                <w:color w:val="0E101A"/>
                <w:sz w:val="20"/>
                <w:szCs w:val="20"/>
                <w:lang w:val="en-US" w:eastAsia="el-GR"/>
              </w:rPr>
            </w:pPr>
          </w:p>
        </w:tc>
      </w:tr>
    </w:tbl>
    <w:p w14:paraId="3AADD083" w14:textId="77777777" w:rsidR="000B139B" w:rsidRDefault="00DB4960">
      <w:pPr>
        <w:pStyle w:val="ListParagraph"/>
        <w:numPr>
          <w:ilvl w:val="3"/>
          <w:numId w:val="4"/>
        </w:numPr>
        <w:spacing w:line="360" w:lineRule="auto"/>
        <w:ind w:left="360"/>
        <w:jc w:val="both"/>
      </w:pPr>
      <w:r>
        <w:rPr>
          <w:rFonts w:eastAsia="Times New Roman" w:cs="Calibri"/>
          <w:b/>
          <w:bCs/>
          <w:color w:val="0E101A"/>
          <w:sz w:val="24"/>
          <w:szCs w:val="24"/>
          <w:lang w:val="en-US" w:eastAsia="el-GR"/>
        </w:rPr>
        <w:t xml:space="preserve">Planking: </w:t>
      </w:r>
      <w:r>
        <w:rPr>
          <w:rFonts w:cs="Calibri"/>
          <w:sz w:val="24"/>
          <w:szCs w:val="24"/>
          <w:lang w:val="en-US"/>
        </w:rPr>
        <w:t xml:space="preserve">Contracts refer to the </w:t>
      </w:r>
      <w:r>
        <w:rPr>
          <w:rFonts w:cs="Calibri"/>
          <w:sz w:val="24"/>
          <w:szCs w:val="24"/>
          <w:lang w:val="en-US"/>
        </w:rPr>
        <w:t xml:space="preserve">first planking timbers, and the </w:t>
      </w:r>
      <w:r>
        <w:rPr>
          <w:rFonts w:cs="Calibri"/>
          <w:b/>
          <w:bCs/>
          <w:sz w:val="24"/>
          <w:szCs w:val="24"/>
          <w:lang w:val="en-US"/>
        </w:rPr>
        <w:t>wales</w:t>
      </w:r>
      <w:r>
        <w:rPr>
          <w:rFonts w:cs="Calibri"/>
          <w:sz w:val="24"/>
          <w:szCs w:val="24"/>
          <w:lang w:val="en-US"/>
        </w:rPr>
        <w:t xml:space="preserve"> or external shelves, </w:t>
      </w:r>
      <w:r>
        <w:rPr>
          <w:rFonts w:eastAsia="Times New Roman" w:cs="Calibri"/>
          <w:color w:val="0E101A"/>
          <w:sz w:val="24"/>
          <w:szCs w:val="24"/>
          <w:lang w:val="en-US" w:eastAsia="el-GR"/>
        </w:rPr>
        <w:t>whose number varied from 6 to 10 on each ship's side</w:t>
      </w:r>
      <w:r>
        <w:rPr>
          <w:rFonts w:cs="Calibri"/>
          <w:sz w:val="24"/>
          <w:szCs w:val="24"/>
          <w:lang w:val="en-US"/>
        </w:rPr>
        <w:t xml:space="preserve">. </w:t>
      </w:r>
      <w:r>
        <w:rPr>
          <w:rFonts w:eastAsia="Times New Roman" w:cs="Calibri"/>
          <w:b/>
          <w:bCs/>
          <w:color w:val="0E101A"/>
          <w:sz w:val="24"/>
          <w:szCs w:val="24"/>
          <w:lang w:val="en-US" w:eastAsia="el-GR"/>
        </w:rPr>
        <w:t>Ceiling planks</w:t>
      </w:r>
      <w:r>
        <w:rPr>
          <w:rFonts w:eastAsia="Times New Roman" w:cs="Calibri"/>
          <w:color w:val="0E101A"/>
          <w:sz w:val="24"/>
          <w:szCs w:val="24"/>
          <w:lang w:val="en-US" w:eastAsia="el-GR"/>
        </w:rPr>
        <w:t xml:space="preserve"> are installed over the side of the ship, usually up to the lower deck and their thickness is smaller compare to deck and hull pl</w:t>
      </w:r>
      <w:r>
        <w:rPr>
          <w:rFonts w:eastAsia="Times New Roman" w:cs="Calibri"/>
          <w:color w:val="0E101A"/>
          <w:sz w:val="24"/>
          <w:szCs w:val="24"/>
          <w:lang w:val="en-US" w:eastAsia="el-GR"/>
        </w:rPr>
        <w:t>anking (3.8 – 5-7cm). The thickness of</w:t>
      </w:r>
      <w:r>
        <w:rPr>
          <w:rFonts w:eastAsia="Times New Roman" w:cs="Calibri"/>
          <w:b/>
          <w:bCs/>
          <w:color w:val="0E101A"/>
          <w:sz w:val="24"/>
          <w:szCs w:val="24"/>
          <w:lang w:val="en-US" w:eastAsia="el-GR"/>
        </w:rPr>
        <w:t xml:space="preserve"> deck and hull planking</w:t>
      </w:r>
      <w:r>
        <w:rPr>
          <w:rFonts w:eastAsia="Times New Roman" w:cs="Calibri"/>
          <w:color w:val="0E101A"/>
          <w:sz w:val="24"/>
          <w:szCs w:val="24"/>
          <w:lang w:val="en-US" w:eastAsia="el-GR"/>
        </w:rPr>
        <w:t xml:space="preserve"> (4.75 – 8.55cm) is the same and their length is rarely indicated. </w:t>
      </w:r>
    </w:p>
    <w:p w14:paraId="39250F53" w14:textId="77777777" w:rsidR="000B139B" w:rsidRDefault="00DB4960">
      <w:pPr>
        <w:pStyle w:val="ListParagraph"/>
        <w:numPr>
          <w:ilvl w:val="3"/>
          <w:numId w:val="4"/>
        </w:numPr>
        <w:spacing w:line="360" w:lineRule="auto"/>
        <w:ind w:left="360"/>
        <w:jc w:val="both"/>
      </w:pPr>
      <w:r>
        <w:rPr>
          <w:rFonts w:eastAsia="Times New Roman" w:cs="Calibri"/>
          <w:color w:val="000000"/>
          <w:sz w:val="24"/>
          <w:szCs w:val="24"/>
          <w:lang w:val="en-US" w:eastAsia="el-GR"/>
        </w:rPr>
        <w:t xml:space="preserve">The examined brigs' </w:t>
      </w:r>
      <w:r>
        <w:rPr>
          <w:rFonts w:eastAsia="Times New Roman" w:cs="Calibri"/>
          <w:b/>
          <w:bCs/>
          <w:color w:val="000000"/>
          <w:sz w:val="24"/>
          <w:szCs w:val="24"/>
          <w:lang w:val="en-US" w:eastAsia="el-GR"/>
        </w:rPr>
        <w:t xml:space="preserve">bulwark </w:t>
      </w:r>
      <w:r>
        <w:rPr>
          <w:rFonts w:eastAsia="Times New Roman" w:cs="Calibri"/>
          <w:color w:val="000000"/>
          <w:sz w:val="24"/>
          <w:szCs w:val="24"/>
          <w:lang w:val="en-US" w:eastAsia="el-GR"/>
        </w:rPr>
        <w:t>is composed of the gunwale (</w:t>
      </w:r>
      <w:r>
        <w:rPr>
          <w:rFonts w:eastAsia="Times New Roman" w:cs="Calibri"/>
          <w:i/>
          <w:iCs/>
          <w:color w:val="000000"/>
          <w:sz w:val="24"/>
          <w:szCs w:val="24"/>
          <w:lang w:eastAsia="el-GR"/>
        </w:rPr>
        <w:t>κουπαστή</w:t>
      </w:r>
      <w:r>
        <w:rPr>
          <w:rFonts w:eastAsia="Times New Roman" w:cs="Calibri"/>
          <w:i/>
          <w:iCs/>
          <w:color w:val="000000"/>
          <w:sz w:val="24"/>
          <w:szCs w:val="24"/>
          <w:lang w:val="en-US" w:eastAsia="el-GR"/>
        </w:rPr>
        <w:t>*</w:t>
      </w:r>
      <w:r>
        <w:rPr>
          <w:rFonts w:eastAsia="Times New Roman" w:cs="Calibri"/>
          <w:color w:val="000000"/>
          <w:sz w:val="24"/>
          <w:szCs w:val="24"/>
          <w:lang w:val="en-US" w:eastAsia="el-GR"/>
        </w:rPr>
        <w:t>), the lower gunwale or waterway (</w:t>
      </w:r>
      <w:r>
        <w:rPr>
          <w:rFonts w:eastAsia="Times New Roman" w:cs="Calibri"/>
          <w:i/>
          <w:iCs/>
          <w:color w:val="000000"/>
          <w:sz w:val="24"/>
          <w:szCs w:val="24"/>
          <w:lang w:eastAsia="el-GR"/>
        </w:rPr>
        <w:t>τρυπητή</w:t>
      </w:r>
      <w:r>
        <w:rPr>
          <w:rFonts w:eastAsia="Times New Roman" w:cs="Calibri"/>
          <w:color w:val="000000"/>
          <w:sz w:val="24"/>
          <w:szCs w:val="24"/>
          <w:lang w:val="en-US" w:eastAsia="el-GR"/>
        </w:rPr>
        <w:t xml:space="preserve">*) and the plank </w:t>
      </w:r>
      <w:r>
        <w:rPr>
          <w:rFonts w:eastAsia="Times New Roman" w:cs="Calibri"/>
          <w:color w:val="000000"/>
          <w:sz w:val="24"/>
          <w:szCs w:val="24"/>
          <w:lang w:val="en-US" w:eastAsia="el-GR"/>
        </w:rPr>
        <w:t>sheer (</w:t>
      </w:r>
      <w:r>
        <w:rPr>
          <w:rFonts w:eastAsia="Times New Roman" w:cs="Calibri"/>
          <w:i/>
          <w:iCs/>
          <w:color w:val="000000"/>
          <w:sz w:val="24"/>
          <w:szCs w:val="24"/>
          <w:lang w:eastAsia="el-GR"/>
        </w:rPr>
        <w:t>ζωνάρια</w:t>
      </w:r>
      <w:r>
        <w:rPr>
          <w:rFonts w:eastAsia="Times New Roman" w:cs="Calibri"/>
          <w:i/>
          <w:iCs/>
          <w:color w:val="000000"/>
          <w:sz w:val="24"/>
          <w:szCs w:val="24"/>
          <w:lang w:val="en-US" w:eastAsia="el-GR"/>
        </w:rPr>
        <w:t>*</w:t>
      </w:r>
      <w:r>
        <w:rPr>
          <w:rFonts w:eastAsia="Times New Roman" w:cs="Calibri"/>
          <w:color w:val="000000"/>
          <w:sz w:val="24"/>
          <w:szCs w:val="24"/>
          <w:lang w:val="en-US" w:eastAsia="el-GR"/>
        </w:rPr>
        <w:t>). It is described as double or single, meaning that planks were installed on both sides or only the outer.</w:t>
      </w:r>
      <w:r>
        <w:rPr>
          <w:rFonts w:cs="Calibri"/>
          <w:color w:val="000000"/>
          <w:sz w:val="24"/>
          <w:szCs w:val="24"/>
          <w:lang w:val="en-US"/>
        </w:rPr>
        <w:t xml:space="preserve"> </w:t>
      </w:r>
    </w:p>
    <w:p w14:paraId="5DC9C5E8" w14:textId="77777777" w:rsidR="000B139B" w:rsidRDefault="00DB4960">
      <w:pPr>
        <w:pStyle w:val="ListParagraph"/>
        <w:numPr>
          <w:ilvl w:val="3"/>
          <w:numId w:val="4"/>
        </w:numPr>
        <w:spacing w:line="360" w:lineRule="auto"/>
        <w:ind w:left="360"/>
        <w:jc w:val="both"/>
      </w:pPr>
      <w:r>
        <w:rPr>
          <w:rFonts w:cs="Calibri"/>
          <w:color w:val="000000"/>
          <w:sz w:val="24"/>
          <w:szCs w:val="24"/>
          <w:lang w:val="en-US"/>
        </w:rPr>
        <w:t xml:space="preserve">Two important conjunction elements of ships are the </w:t>
      </w:r>
      <w:r>
        <w:rPr>
          <w:rFonts w:cs="Calibri"/>
          <w:b/>
          <w:bCs/>
          <w:color w:val="000000"/>
          <w:sz w:val="24"/>
          <w:szCs w:val="24"/>
          <w:lang w:val="en-US"/>
        </w:rPr>
        <w:t xml:space="preserve">breast hook knees and the knees. </w:t>
      </w:r>
      <w:r>
        <w:rPr>
          <w:rFonts w:eastAsia="Times New Roman" w:cs="Calibri"/>
          <w:color w:val="000000"/>
          <w:sz w:val="24"/>
          <w:szCs w:val="24"/>
          <w:lang w:val="en-US" w:eastAsia="el-GR"/>
        </w:rPr>
        <w:t>The only data recorded concerning them is their</w:t>
      </w:r>
      <w:r>
        <w:rPr>
          <w:rFonts w:eastAsia="Times New Roman" w:cs="Calibri"/>
          <w:color w:val="000000"/>
          <w:sz w:val="24"/>
          <w:szCs w:val="24"/>
          <w:lang w:val="en-US" w:eastAsia="el-GR"/>
        </w:rPr>
        <w:t xml:space="preserve"> number and position (bow or stern). </w:t>
      </w:r>
      <w:r>
        <w:rPr>
          <w:rFonts w:cs="Calibri"/>
          <w:b/>
          <w:bCs/>
          <w:color w:val="000000"/>
          <w:sz w:val="24"/>
          <w:szCs w:val="24"/>
          <w:lang w:val="en-US"/>
        </w:rPr>
        <w:t>Knees</w:t>
      </w:r>
      <w:r>
        <w:rPr>
          <w:rFonts w:cs="Calibri"/>
          <w:color w:val="000000"/>
          <w:sz w:val="24"/>
          <w:szCs w:val="24"/>
          <w:lang w:val="en-US"/>
        </w:rPr>
        <w:t xml:space="preserve"> reinforced the junction of two surfaces of different planes, and they</w:t>
      </w:r>
      <w:r>
        <w:rPr>
          <w:rFonts w:eastAsia="Times New Roman" w:cs="Calibri"/>
          <w:color w:val="000000"/>
          <w:sz w:val="24"/>
          <w:szCs w:val="24"/>
          <w:lang w:val="en-US" w:eastAsia="el-GR"/>
        </w:rPr>
        <w:t xml:space="preserve"> were often mentioned in the contracts in combination with other parts of the vessels. </w:t>
      </w:r>
    </w:p>
    <w:p w14:paraId="20BA3E8F" w14:textId="77777777" w:rsidR="000B139B" w:rsidRDefault="00DB4960">
      <w:pPr>
        <w:spacing w:line="360" w:lineRule="auto"/>
        <w:jc w:val="both"/>
      </w:pPr>
      <w:r>
        <w:rPr>
          <w:rFonts w:cs="Calibri"/>
          <w:color w:val="000000"/>
          <w:sz w:val="24"/>
          <w:szCs w:val="24"/>
          <w:lang w:val="en-US"/>
        </w:rPr>
        <w:t xml:space="preserve">The </w:t>
      </w:r>
      <w:r>
        <w:rPr>
          <w:rFonts w:eastAsia="Times New Roman" w:cs="Calibri"/>
          <w:b/>
          <w:bCs/>
          <w:color w:val="000000"/>
          <w:sz w:val="24"/>
          <w:szCs w:val="24"/>
          <w:lang w:val="en-US" w:eastAsia="el-GR"/>
        </w:rPr>
        <w:t>ship's division elements (Fig. 10), their superstruc</w:t>
      </w:r>
      <w:r>
        <w:rPr>
          <w:rFonts w:eastAsia="Times New Roman" w:cs="Calibri"/>
          <w:b/>
          <w:bCs/>
          <w:color w:val="000000"/>
          <w:sz w:val="24"/>
          <w:szCs w:val="24"/>
          <w:lang w:val="en-US" w:eastAsia="el-GR"/>
        </w:rPr>
        <w:t xml:space="preserve">tures, and equipment (Fig. 11) </w:t>
      </w:r>
      <w:r>
        <w:rPr>
          <w:rFonts w:cs="Calibri"/>
          <w:color w:val="000000"/>
          <w:sz w:val="24"/>
          <w:szCs w:val="24"/>
          <w:lang w:val="en-US"/>
        </w:rPr>
        <w:t>are only briefly mentioned in the contracts</w:t>
      </w:r>
      <w:r>
        <w:rPr>
          <w:rFonts w:eastAsia="Times New Roman" w:cs="Calibri"/>
          <w:b/>
          <w:bCs/>
          <w:color w:val="000000"/>
          <w:sz w:val="24"/>
          <w:szCs w:val="24"/>
          <w:lang w:val="en-US" w:eastAsia="el-GR"/>
        </w:rPr>
        <w:t xml:space="preserve">. </w:t>
      </w:r>
      <w:r>
        <w:rPr>
          <w:rFonts w:cs="Calibri"/>
          <w:color w:val="000000"/>
          <w:sz w:val="24"/>
          <w:szCs w:val="24"/>
          <w:lang w:val="en-US"/>
        </w:rPr>
        <w:t>The brigs’ interior was divided by bulkheads,  in the middle of the hold, and between the hold and the captain’s cabin to the aft part and the sailors’ room to the fore of the vess</w:t>
      </w:r>
      <w:r>
        <w:rPr>
          <w:rFonts w:cs="Calibri"/>
          <w:color w:val="000000"/>
          <w:sz w:val="24"/>
          <w:szCs w:val="24"/>
          <w:lang w:val="en-US"/>
        </w:rPr>
        <w:t xml:space="preserve">el. Some of the ships’ superstructures and equipment are also mentioned: </w:t>
      </w:r>
      <w:r>
        <w:rPr>
          <w:rFonts w:eastAsia="Times New Roman" w:cs="Calibri"/>
          <w:color w:val="0E101A"/>
          <w:sz w:val="24"/>
          <w:szCs w:val="24"/>
          <w:lang w:val="en-US" w:eastAsia="el-GR"/>
        </w:rPr>
        <w:t>catheads</w:t>
      </w:r>
      <w:r>
        <w:rPr>
          <w:lang w:val="en-US"/>
        </w:rPr>
        <w:t xml:space="preserve">, </w:t>
      </w:r>
      <w:r>
        <w:rPr>
          <w:rFonts w:cs="Calibri"/>
          <w:sz w:val="24"/>
          <w:szCs w:val="24"/>
          <w:lang w:val="en-US"/>
        </w:rPr>
        <w:t>canopy</w:t>
      </w:r>
      <w:r>
        <w:rPr>
          <w:lang w:val="en-US"/>
        </w:rPr>
        <w:t xml:space="preserve">, </w:t>
      </w:r>
      <w:r>
        <w:rPr>
          <w:rFonts w:cs="Calibri"/>
          <w:sz w:val="24"/>
          <w:szCs w:val="24"/>
          <w:lang w:val="en-US"/>
        </w:rPr>
        <w:t>skylight</w:t>
      </w:r>
      <w:r>
        <w:rPr>
          <w:lang w:val="en-US"/>
        </w:rPr>
        <w:t xml:space="preserve">, </w:t>
      </w:r>
      <w:r>
        <w:rPr>
          <w:rFonts w:cs="Calibri"/>
          <w:sz w:val="24"/>
          <w:szCs w:val="24"/>
          <w:lang w:val="en-US"/>
        </w:rPr>
        <w:t>galley</w:t>
      </w:r>
      <w:r>
        <w:rPr>
          <w:lang w:val="en-US"/>
        </w:rPr>
        <w:t xml:space="preserve">, </w:t>
      </w:r>
      <w:r>
        <w:rPr>
          <w:rFonts w:cs="Calibri"/>
          <w:sz w:val="24"/>
          <w:szCs w:val="24"/>
          <w:lang w:val="en-US"/>
        </w:rPr>
        <w:t>belfries</w:t>
      </w:r>
      <w:r>
        <w:rPr>
          <w:lang w:val="en-US"/>
        </w:rPr>
        <w:t xml:space="preserve">, </w:t>
      </w:r>
      <w:r>
        <w:rPr>
          <w:rFonts w:cs="Calibri"/>
          <w:sz w:val="24"/>
          <w:szCs w:val="24"/>
          <w:lang w:val="en-US"/>
        </w:rPr>
        <w:t>hatchways,</w:t>
      </w:r>
      <w:r>
        <w:rPr>
          <w:lang w:val="en-US"/>
        </w:rPr>
        <w:t xml:space="preserve"> </w:t>
      </w:r>
      <w:r>
        <w:rPr>
          <w:rFonts w:cs="Calibri"/>
          <w:sz w:val="24"/>
          <w:szCs w:val="24"/>
          <w:lang w:val="en-US"/>
        </w:rPr>
        <w:t>channels</w:t>
      </w:r>
      <w:r>
        <w:rPr>
          <w:lang w:val="en-US"/>
        </w:rPr>
        <w:t xml:space="preserve">, </w:t>
      </w:r>
      <w:r>
        <w:rPr>
          <w:rFonts w:cs="Calibri"/>
          <w:sz w:val="24"/>
          <w:szCs w:val="24"/>
          <w:lang w:val="en-US"/>
        </w:rPr>
        <w:t>rudder</w:t>
      </w:r>
      <w:r>
        <w:rPr>
          <w:lang w:val="en-US"/>
        </w:rPr>
        <w:t xml:space="preserve">, </w:t>
      </w:r>
      <w:r>
        <w:rPr>
          <w:rFonts w:cs="Calibri"/>
          <w:sz w:val="24"/>
          <w:szCs w:val="24"/>
          <w:lang w:val="en-US"/>
        </w:rPr>
        <w:t>wheel or the tiller</w:t>
      </w:r>
      <w:r>
        <w:rPr>
          <w:lang w:val="en-US"/>
        </w:rPr>
        <w:t xml:space="preserve">, </w:t>
      </w:r>
      <w:r>
        <w:rPr>
          <w:rFonts w:cs="Calibri"/>
          <w:sz w:val="24"/>
          <w:szCs w:val="24"/>
          <w:lang w:val="en-US"/>
        </w:rPr>
        <w:t>bits</w:t>
      </w:r>
      <w:r>
        <w:rPr>
          <w:lang w:val="en-US"/>
        </w:rPr>
        <w:t xml:space="preserve">, </w:t>
      </w:r>
      <w:r>
        <w:rPr>
          <w:rFonts w:cs="Calibri"/>
          <w:sz w:val="24"/>
          <w:szCs w:val="24"/>
          <w:lang w:val="en-US"/>
        </w:rPr>
        <w:t>hawses</w:t>
      </w:r>
      <w:r>
        <w:rPr>
          <w:lang w:val="en-US"/>
        </w:rPr>
        <w:t xml:space="preserve">, </w:t>
      </w:r>
      <w:r>
        <w:rPr>
          <w:rFonts w:cs="Calibri"/>
          <w:sz w:val="24"/>
          <w:szCs w:val="24"/>
          <w:lang w:val="en-US"/>
        </w:rPr>
        <w:t>catheads</w:t>
      </w:r>
      <w:r>
        <w:rPr>
          <w:lang w:val="en-US"/>
        </w:rPr>
        <w:t xml:space="preserve">, </w:t>
      </w:r>
      <w:r>
        <w:rPr>
          <w:rFonts w:cs="Calibri"/>
          <w:sz w:val="24"/>
          <w:szCs w:val="24"/>
          <w:lang w:val="en-US"/>
        </w:rPr>
        <w:t>figureheads</w:t>
      </w:r>
      <w:r>
        <w:rPr>
          <w:lang w:val="en-US"/>
        </w:rPr>
        <w:t xml:space="preserve">, </w:t>
      </w:r>
      <w:r>
        <w:rPr>
          <w:rFonts w:cs="Calibri"/>
          <w:sz w:val="24"/>
          <w:szCs w:val="24"/>
          <w:lang w:val="en-US"/>
        </w:rPr>
        <w:t>capstan</w:t>
      </w:r>
      <w:r>
        <w:rPr>
          <w:lang w:val="en-US"/>
        </w:rPr>
        <w:t xml:space="preserve"> and the </w:t>
      </w:r>
      <w:r>
        <w:rPr>
          <w:rFonts w:cs="Calibri"/>
          <w:sz w:val="24"/>
          <w:szCs w:val="24"/>
          <w:lang w:val="en-US"/>
        </w:rPr>
        <w:t xml:space="preserve">windlass. </w:t>
      </w:r>
    </w:p>
    <w:tbl>
      <w:tblPr>
        <w:tblW w:w="8280" w:type="dxa"/>
        <w:jc w:val="center"/>
        <w:tblCellMar>
          <w:left w:w="10" w:type="dxa"/>
          <w:right w:w="10" w:type="dxa"/>
        </w:tblCellMar>
        <w:tblLook w:val="04A0" w:firstRow="1" w:lastRow="0" w:firstColumn="1" w:lastColumn="0" w:noHBand="0" w:noVBand="1"/>
      </w:tblPr>
      <w:tblGrid>
        <w:gridCol w:w="8306"/>
      </w:tblGrid>
      <w:tr w:rsidR="000B139B" w14:paraId="7C97A4B0" w14:textId="77777777">
        <w:tblPrEx>
          <w:tblCellMar>
            <w:top w:w="0" w:type="dxa"/>
            <w:bottom w:w="0" w:type="dxa"/>
          </w:tblCellMar>
        </w:tblPrEx>
        <w:trPr>
          <w:trHeight w:val="2240"/>
          <w:jc w:val="center"/>
        </w:trPr>
        <w:tc>
          <w:tcPr>
            <w:tcW w:w="8306" w:type="dxa"/>
            <w:shd w:val="clear" w:color="auto" w:fill="auto"/>
            <w:tcMar>
              <w:top w:w="0" w:type="dxa"/>
              <w:left w:w="108" w:type="dxa"/>
              <w:bottom w:w="0" w:type="dxa"/>
              <w:right w:w="108" w:type="dxa"/>
            </w:tcMar>
          </w:tcPr>
          <w:p w14:paraId="23FEAF4B" w14:textId="77777777" w:rsidR="000B139B" w:rsidRDefault="00DB4960">
            <w:pPr>
              <w:spacing w:after="0" w:line="360" w:lineRule="auto"/>
              <w:jc w:val="center"/>
            </w:pPr>
            <w:r>
              <w:rPr>
                <w:rFonts w:cs="Calibri"/>
                <w:noProof/>
                <w:sz w:val="24"/>
                <w:szCs w:val="24"/>
                <w:lang w:val="en-US"/>
              </w:rPr>
              <w:lastRenderedPageBreak/>
              <w:drawing>
                <wp:inline distT="0" distB="0" distL="0" distR="0" wp14:anchorId="66529E5C" wp14:editId="0A922BF5">
                  <wp:extent cx="5274314" cy="1492245"/>
                  <wp:effectExtent l="0" t="0" r="0" b="0"/>
                  <wp:docPr id="10" name="Picture 4" descr="A picture containing outdoor, school, b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274314" cy="1492245"/>
                          </a:xfrm>
                          <a:prstGeom prst="rect">
                            <a:avLst/>
                          </a:prstGeom>
                          <a:noFill/>
                          <a:ln>
                            <a:noFill/>
                            <a:prstDash/>
                          </a:ln>
                        </pic:spPr>
                      </pic:pic>
                    </a:graphicData>
                  </a:graphic>
                </wp:inline>
              </w:drawing>
            </w:r>
          </w:p>
        </w:tc>
      </w:tr>
      <w:tr w:rsidR="000B139B" w14:paraId="72178E2B" w14:textId="77777777">
        <w:tblPrEx>
          <w:tblCellMar>
            <w:top w:w="0" w:type="dxa"/>
            <w:bottom w:w="0" w:type="dxa"/>
          </w:tblCellMar>
        </w:tblPrEx>
        <w:trPr>
          <w:trHeight w:val="643"/>
          <w:jc w:val="center"/>
        </w:trPr>
        <w:tc>
          <w:tcPr>
            <w:tcW w:w="8306" w:type="dxa"/>
            <w:shd w:val="clear" w:color="auto" w:fill="auto"/>
            <w:tcMar>
              <w:top w:w="0" w:type="dxa"/>
              <w:left w:w="108" w:type="dxa"/>
              <w:bottom w:w="0" w:type="dxa"/>
              <w:right w:w="108" w:type="dxa"/>
            </w:tcMar>
          </w:tcPr>
          <w:p w14:paraId="6095E8F9" w14:textId="77777777" w:rsidR="000B139B" w:rsidRDefault="00DB4960">
            <w:pPr>
              <w:spacing w:after="0" w:line="276" w:lineRule="auto"/>
              <w:jc w:val="both"/>
            </w:pPr>
            <w:bookmarkStart w:id="11" w:name="_Hlk59719775"/>
            <w:r>
              <w:rPr>
                <w:rFonts w:cs="Calibri"/>
                <w:b/>
                <w:bCs/>
                <w:sz w:val="20"/>
                <w:szCs w:val="20"/>
                <w:lang w:val="en-US"/>
              </w:rPr>
              <w:t>Figure 10</w:t>
            </w:r>
            <w:r>
              <w:rPr>
                <w:rFonts w:cs="Calibri"/>
                <w:sz w:val="20"/>
                <w:szCs w:val="20"/>
                <w:lang w:val="en-US"/>
              </w:rPr>
              <w:t xml:space="preserve">: The </w:t>
            </w:r>
            <w:r>
              <w:rPr>
                <w:rFonts w:cs="Calibri"/>
                <w:sz w:val="20"/>
                <w:szCs w:val="20"/>
                <w:lang w:val="en-US"/>
              </w:rPr>
              <w:t xml:space="preserve">interior arrangement and subdivisions of </w:t>
            </w:r>
            <w:r>
              <w:rPr>
                <w:rFonts w:cs="TimesNRMT"/>
                <w:sz w:val="20"/>
                <w:szCs w:val="20"/>
                <w:lang w:val="en-US"/>
              </w:rPr>
              <w:t>a naval artillery brig model constructed in 1907, Piraeus, Greece and now is exhibited at the National Historical Museum in Athens (Photo by the author)</w:t>
            </w:r>
            <w:bookmarkEnd w:id="11"/>
          </w:p>
        </w:tc>
      </w:tr>
    </w:tbl>
    <w:p w14:paraId="0CB5EF2D" w14:textId="77777777" w:rsidR="000B139B" w:rsidRDefault="000B139B">
      <w:pPr>
        <w:spacing w:line="360" w:lineRule="auto"/>
        <w:jc w:val="both"/>
        <w:rPr>
          <w:lang w:val="en-US"/>
        </w:rPr>
      </w:pPr>
    </w:p>
    <w:tbl>
      <w:tblPr>
        <w:tblW w:w="8820" w:type="dxa"/>
        <w:jc w:val="center"/>
        <w:tblCellMar>
          <w:left w:w="10" w:type="dxa"/>
          <w:right w:w="10" w:type="dxa"/>
        </w:tblCellMar>
        <w:tblLook w:val="04A0" w:firstRow="1" w:lastRow="0" w:firstColumn="1" w:lastColumn="0" w:noHBand="0" w:noVBand="1"/>
      </w:tblPr>
      <w:tblGrid>
        <w:gridCol w:w="8820"/>
      </w:tblGrid>
      <w:tr w:rsidR="000B139B" w14:paraId="717C2241" w14:textId="77777777">
        <w:tblPrEx>
          <w:tblCellMar>
            <w:top w:w="0" w:type="dxa"/>
            <w:bottom w:w="0" w:type="dxa"/>
          </w:tblCellMar>
        </w:tblPrEx>
        <w:trPr>
          <w:trHeight w:val="4472"/>
          <w:jc w:val="center"/>
        </w:trPr>
        <w:tc>
          <w:tcPr>
            <w:tcW w:w="8820" w:type="dxa"/>
            <w:shd w:val="clear" w:color="auto" w:fill="auto"/>
            <w:tcMar>
              <w:top w:w="0" w:type="dxa"/>
              <w:left w:w="108" w:type="dxa"/>
              <w:bottom w:w="0" w:type="dxa"/>
              <w:right w:w="108" w:type="dxa"/>
            </w:tcMar>
          </w:tcPr>
          <w:p w14:paraId="3AA54606" w14:textId="77777777" w:rsidR="000B139B" w:rsidRDefault="00DB4960">
            <w:pPr>
              <w:spacing w:after="0" w:line="276" w:lineRule="auto"/>
              <w:jc w:val="center"/>
            </w:pPr>
            <w:r>
              <w:rPr>
                <w:rFonts w:cs="Calibri"/>
                <w:noProof/>
                <w:sz w:val="24"/>
                <w:szCs w:val="24"/>
                <w:lang w:val="en-US"/>
              </w:rPr>
              <w:drawing>
                <wp:inline distT="0" distB="0" distL="0" distR="0" wp14:anchorId="24AD0523" wp14:editId="1CAACCDC">
                  <wp:extent cx="5274314" cy="2811779"/>
                  <wp:effectExtent l="0" t="0" r="0" b="0"/>
                  <wp:docPr id="11" name="Picture 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274314" cy="2811779"/>
                          </a:xfrm>
                          <a:prstGeom prst="rect">
                            <a:avLst/>
                          </a:prstGeom>
                          <a:noFill/>
                          <a:ln>
                            <a:noFill/>
                            <a:prstDash/>
                          </a:ln>
                        </pic:spPr>
                      </pic:pic>
                    </a:graphicData>
                  </a:graphic>
                </wp:inline>
              </w:drawing>
            </w:r>
          </w:p>
        </w:tc>
      </w:tr>
      <w:tr w:rsidR="000B139B" w14:paraId="6BDA6F0A" w14:textId="77777777">
        <w:tblPrEx>
          <w:tblCellMar>
            <w:top w:w="0" w:type="dxa"/>
            <w:bottom w:w="0" w:type="dxa"/>
          </w:tblCellMar>
        </w:tblPrEx>
        <w:trPr>
          <w:trHeight w:val="561"/>
          <w:jc w:val="center"/>
        </w:trPr>
        <w:tc>
          <w:tcPr>
            <w:tcW w:w="8820" w:type="dxa"/>
            <w:shd w:val="clear" w:color="auto" w:fill="auto"/>
            <w:tcMar>
              <w:top w:w="0" w:type="dxa"/>
              <w:left w:w="108" w:type="dxa"/>
              <w:bottom w:w="0" w:type="dxa"/>
              <w:right w:w="108" w:type="dxa"/>
            </w:tcMar>
          </w:tcPr>
          <w:p w14:paraId="423AFBCB" w14:textId="77777777" w:rsidR="000B139B" w:rsidRDefault="00DB4960">
            <w:pPr>
              <w:spacing w:after="0" w:line="276" w:lineRule="auto"/>
              <w:jc w:val="both"/>
            </w:pPr>
            <w:bookmarkStart w:id="12" w:name="_Hlk59719279"/>
            <w:r>
              <w:rPr>
                <w:rFonts w:cs="Calibri"/>
                <w:b/>
                <w:bCs/>
                <w:sz w:val="20"/>
                <w:szCs w:val="20"/>
                <w:lang w:val="en-US"/>
              </w:rPr>
              <w:t>Figure 11</w:t>
            </w:r>
            <w:r>
              <w:rPr>
                <w:rFonts w:cs="Calibri"/>
                <w:sz w:val="20"/>
                <w:szCs w:val="20"/>
                <w:lang w:val="en-US"/>
              </w:rPr>
              <w:t xml:space="preserve">: The equipment and </w:t>
            </w:r>
            <w:r>
              <w:rPr>
                <w:rFonts w:cs="Calibri"/>
                <w:sz w:val="20"/>
                <w:szCs w:val="20"/>
                <w:lang w:val="en-US"/>
              </w:rPr>
              <w:t xml:space="preserve">superstructures as indicated in the text on a drawing of an American brig named </w:t>
            </w:r>
            <w:r>
              <w:rPr>
                <w:rFonts w:cs="Calibri"/>
                <w:i/>
                <w:iCs/>
                <w:sz w:val="20"/>
                <w:szCs w:val="20"/>
                <w:lang w:val="en-US"/>
              </w:rPr>
              <w:t xml:space="preserve">Neilson </w:t>
            </w:r>
            <w:r>
              <w:rPr>
                <w:rFonts w:cs="Calibri"/>
                <w:sz w:val="20"/>
                <w:szCs w:val="20"/>
                <w:lang w:val="en-US"/>
              </w:rPr>
              <w:t>(</w:t>
            </w:r>
            <w:bookmarkStart w:id="13" w:name="_Hlk54980114"/>
            <w:r>
              <w:rPr>
                <w:rFonts w:cs="Calibri"/>
                <w:sz w:val="20"/>
                <w:szCs w:val="20"/>
                <w:lang w:val="en-US"/>
              </w:rPr>
              <w:t xml:space="preserve">based on </w:t>
            </w:r>
            <w:r>
              <w:rPr>
                <w:rFonts w:cs="TimesNRMT"/>
                <w:sz w:val="20"/>
                <w:szCs w:val="20"/>
                <w:lang w:val="en-US"/>
              </w:rPr>
              <w:t>MacGregor 1973</w:t>
            </w:r>
            <w:bookmarkEnd w:id="13"/>
            <w:r>
              <w:rPr>
                <w:rFonts w:cs="TimesNRMT"/>
                <w:sz w:val="20"/>
                <w:szCs w:val="20"/>
                <w:lang w:val="en-US"/>
              </w:rPr>
              <w:t xml:space="preserve">: 76); A detail of the rudder and the tiller of the brig model in Figure 10. </w:t>
            </w:r>
            <w:bookmarkEnd w:id="12"/>
          </w:p>
        </w:tc>
      </w:tr>
    </w:tbl>
    <w:p w14:paraId="35E2B9BC" w14:textId="77777777" w:rsidR="000B139B" w:rsidRDefault="000B139B">
      <w:pPr>
        <w:spacing w:line="360" w:lineRule="auto"/>
        <w:jc w:val="both"/>
        <w:rPr>
          <w:lang w:val="en-US"/>
        </w:rPr>
      </w:pPr>
    </w:p>
    <w:p w14:paraId="55FC38BD" w14:textId="77777777" w:rsidR="000B139B" w:rsidRDefault="00DB4960">
      <w:pPr>
        <w:spacing w:line="360" w:lineRule="auto"/>
        <w:jc w:val="both"/>
      </w:pPr>
      <w:r>
        <w:rPr>
          <w:rFonts w:eastAsia="Times New Roman" w:cs="Calibri"/>
          <w:color w:val="0E101A"/>
          <w:sz w:val="24"/>
          <w:szCs w:val="24"/>
          <w:lang w:val="en-US" w:eastAsia="el-GR"/>
        </w:rPr>
        <w:t>Among all the studied cases, the most comprehend information cam</w:t>
      </w:r>
      <w:r>
        <w:rPr>
          <w:rFonts w:eastAsia="Times New Roman" w:cs="Calibri"/>
          <w:color w:val="0E101A"/>
          <w:sz w:val="24"/>
          <w:szCs w:val="24"/>
          <w:lang w:val="en-US" w:eastAsia="el-GR"/>
        </w:rPr>
        <w:t>e from the contract for a brig named CANTITO. Thus, it became possible to reconstruct its transversal section and a 3D section of its mid-part (</w:t>
      </w:r>
      <w:r>
        <w:rPr>
          <w:rFonts w:eastAsia="Times New Roman" w:cs="Calibri"/>
          <w:b/>
          <w:bCs/>
          <w:color w:val="0E101A"/>
          <w:sz w:val="24"/>
          <w:szCs w:val="24"/>
          <w:lang w:val="en-US" w:eastAsia="el-GR"/>
        </w:rPr>
        <w:t>Figs. 12, 13</w:t>
      </w:r>
      <w:r>
        <w:rPr>
          <w:rFonts w:eastAsia="Times New Roman" w:cs="Calibri"/>
          <w:color w:val="0E101A"/>
          <w:sz w:val="24"/>
          <w:szCs w:val="24"/>
          <w:lang w:val="en-US" w:eastAsia="el-GR"/>
        </w:rPr>
        <w:t>).</w:t>
      </w:r>
    </w:p>
    <w:tbl>
      <w:tblPr>
        <w:tblW w:w="8169" w:type="dxa"/>
        <w:tblCellMar>
          <w:left w:w="10" w:type="dxa"/>
          <w:right w:w="10" w:type="dxa"/>
        </w:tblCellMar>
        <w:tblLook w:val="04A0" w:firstRow="1" w:lastRow="0" w:firstColumn="1" w:lastColumn="0" w:noHBand="0" w:noVBand="1"/>
      </w:tblPr>
      <w:tblGrid>
        <w:gridCol w:w="8169"/>
      </w:tblGrid>
      <w:tr w:rsidR="000B139B" w14:paraId="15D795DB" w14:textId="77777777">
        <w:tblPrEx>
          <w:tblCellMar>
            <w:top w:w="0" w:type="dxa"/>
            <w:bottom w:w="0" w:type="dxa"/>
          </w:tblCellMar>
        </w:tblPrEx>
        <w:tc>
          <w:tcPr>
            <w:tcW w:w="8169" w:type="dxa"/>
            <w:shd w:val="clear" w:color="auto" w:fill="auto"/>
            <w:tcMar>
              <w:top w:w="0" w:type="dxa"/>
              <w:left w:w="108" w:type="dxa"/>
              <w:bottom w:w="0" w:type="dxa"/>
              <w:right w:w="108" w:type="dxa"/>
            </w:tcMar>
          </w:tcPr>
          <w:p w14:paraId="48198386" w14:textId="77777777" w:rsidR="000B139B" w:rsidRDefault="00DB4960">
            <w:pPr>
              <w:spacing w:after="0" w:line="360" w:lineRule="auto"/>
              <w:jc w:val="center"/>
            </w:pPr>
            <w:r>
              <w:rPr>
                <w:rFonts w:eastAsia="Times New Roman" w:cs="Calibri"/>
                <w:noProof/>
                <w:color w:val="0E101A"/>
                <w:sz w:val="24"/>
                <w:szCs w:val="24"/>
                <w:lang w:val="en-US" w:eastAsia="el-GR"/>
              </w:rPr>
              <w:lastRenderedPageBreak/>
              <w:drawing>
                <wp:inline distT="0" distB="0" distL="0" distR="0" wp14:anchorId="5F81CFCA" wp14:editId="120D573F">
                  <wp:extent cx="4991096" cy="3409953"/>
                  <wp:effectExtent l="0" t="0" r="4" b="6347"/>
                  <wp:docPr id="12" name="Picture 2"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4991096" cy="3409953"/>
                          </a:xfrm>
                          <a:prstGeom prst="rect">
                            <a:avLst/>
                          </a:prstGeom>
                          <a:noFill/>
                          <a:ln>
                            <a:noFill/>
                            <a:prstDash/>
                          </a:ln>
                        </pic:spPr>
                      </pic:pic>
                    </a:graphicData>
                  </a:graphic>
                </wp:inline>
              </w:drawing>
            </w:r>
          </w:p>
        </w:tc>
      </w:tr>
      <w:tr w:rsidR="000B139B" w14:paraId="38D0BF77" w14:textId="77777777">
        <w:tblPrEx>
          <w:tblCellMar>
            <w:top w:w="0" w:type="dxa"/>
            <w:bottom w:w="0" w:type="dxa"/>
          </w:tblCellMar>
        </w:tblPrEx>
        <w:tc>
          <w:tcPr>
            <w:tcW w:w="8169" w:type="dxa"/>
            <w:shd w:val="clear" w:color="auto" w:fill="auto"/>
            <w:tcMar>
              <w:top w:w="0" w:type="dxa"/>
              <w:left w:w="108" w:type="dxa"/>
              <w:bottom w:w="0" w:type="dxa"/>
              <w:right w:w="108" w:type="dxa"/>
            </w:tcMar>
          </w:tcPr>
          <w:p w14:paraId="0A9CB4CC" w14:textId="77777777" w:rsidR="000B139B" w:rsidRDefault="00DB4960">
            <w:pPr>
              <w:spacing w:after="0" w:line="276" w:lineRule="auto"/>
            </w:pPr>
            <w:r>
              <w:rPr>
                <w:rFonts w:eastAsia="Times New Roman" w:cs="Calibri"/>
                <w:b/>
                <w:bCs/>
                <w:color w:val="0E101A"/>
                <w:sz w:val="20"/>
                <w:szCs w:val="20"/>
                <w:lang w:val="en-US" w:eastAsia="el-GR"/>
              </w:rPr>
              <w:t>Figure 12</w:t>
            </w:r>
            <w:r>
              <w:rPr>
                <w:rFonts w:eastAsia="Times New Roman" w:cs="Calibri"/>
                <w:color w:val="0E101A"/>
                <w:sz w:val="20"/>
                <w:szCs w:val="20"/>
                <w:lang w:val="en-US" w:eastAsia="el-GR"/>
              </w:rPr>
              <w:t xml:space="preserve">: CANTITO’s mid-frame section, indicating the transversal and </w:t>
            </w:r>
            <w:r>
              <w:rPr>
                <w:rFonts w:eastAsia="Times New Roman" w:cs="Calibri"/>
                <w:color w:val="0E101A"/>
                <w:sz w:val="20"/>
                <w:szCs w:val="20"/>
                <w:lang w:val="en-US" w:eastAsia="el-GR"/>
              </w:rPr>
              <w:t>longitudinal ship’s structural components</w:t>
            </w:r>
          </w:p>
        </w:tc>
      </w:tr>
    </w:tbl>
    <w:p w14:paraId="3B4E0B67" w14:textId="77777777" w:rsidR="000B139B" w:rsidRDefault="000B139B">
      <w:pPr>
        <w:spacing w:line="360" w:lineRule="auto"/>
        <w:jc w:val="both"/>
        <w:rPr>
          <w:lang w:val="en-US"/>
        </w:rPr>
      </w:pPr>
    </w:p>
    <w:tbl>
      <w:tblPr>
        <w:tblW w:w="8296" w:type="dxa"/>
        <w:tblCellMar>
          <w:left w:w="10" w:type="dxa"/>
          <w:right w:w="10" w:type="dxa"/>
        </w:tblCellMar>
        <w:tblLook w:val="04A0" w:firstRow="1" w:lastRow="0" w:firstColumn="1" w:lastColumn="0" w:noHBand="0" w:noVBand="1"/>
      </w:tblPr>
      <w:tblGrid>
        <w:gridCol w:w="8296"/>
      </w:tblGrid>
      <w:tr w:rsidR="000B139B" w14:paraId="086B36BE" w14:textId="77777777">
        <w:tblPrEx>
          <w:tblCellMar>
            <w:top w:w="0" w:type="dxa"/>
            <w:bottom w:w="0" w:type="dxa"/>
          </w:tblCellMar>
        </w:tblPrEx>
        <w:tc>
          <w:tcPr>
            <w:tcW w:w="8296" w:type="dxa"/>
            <w:shd w:val="clear" w:color="auto" w:fill="auto"/>
            <w:tcMar>
              <w:top w:w="0" w:type="dxa"/>
              <w:left w:w="108" w:type="dxa"/>
              <w:bottom w:w="0" w:type="dxa"/>
              <w:right w:w="108" w:type="dxa"/>
            </w:tcMar>
          </w:tcPr>
          <w:p w14:paraId="3C1839B9" w14:textId="77777777" w:rsidR="000B139B" w:rsidRDefault="00DB4960">
            <w:pPr>
              <w:spacing w:after="0" w:line="360" w:lineRule="auto"/>
              <w:jc w:val="center"/>
            </w:pPr>
            <w:r>
              <w:rPr>
                <w:noProof/>
              </w:rPr>
              <w:drawing>
                <wp:inline distT="0" distB="0" distL="0" distR="0" wp14:anchorId="24D8BDB7" wp14:editId="29F2E74E">
                  <wp:extent cx="3009903" cy="3533771"/>
                  <wp:effectExtent l="0" t="0" r="0" b="0"/>
                  <wp:docPr id="13" name="Picture 1" descr="Diagram,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3009903" cy="3533771"/>
                          </a:xfrm>
                          <a:prstGeom prst="rect">
                            <a:avLst/>
                          </a:prstGeom>
                          <a:noFill/>
                          <a:ln>
                            <a:noFill/>
                            <a:prstDash/>
                          </a:ln>
                        </pic:spPr>
                      </pic:pic>
                    </a:graphicData>
                  </a:graphic>
                </wp:inline>
              </w:drawing>
            </w:r>
          </w:p>
        </w:tc>
      </w:tr>
      <w:tr w:rsidR="000B139B" w14:paraId="21AB6D8E" w14:textId="77777777">
        <w:tblPrEx>
          <w:tblCellMar>
            <w:top w:w="0" w:type="dxa"/>
            <w:bottom w:w="0" w:type="dxa"/>
          </w:tblCellMar>
        </w:tblPrEx>
        <w:tc>
          <w:tcPr>
            <w:tcW w:w="8296" w:type="dxa"/>
            <w:shd w:val="clear" w:color="auto" w:fill="auto"/>
            <w:tcMar>
              <w:top w:w="0" w:type="dxa"/>
              <w:left w:w="108" w:type="dxa"/>
              <w:bottom w:w="0" w:type="dxa"/>
              <w:right w:w="108" w:type="dxa"/>
            </w:tcMar>
          </w:tcPr>
          <w:p w14:paraId="141FC3E9" w14:textId="77777777" w:rsidR="000B139B" w:rsidRDefault="00DB4960">
            <w:pPr>
              <w:spacing w:after="0" w:line="276" w:lineRule="auto"/>
              <w:jc w:val="both"/>
            </w:pPr>
            <w:r>
              <w:rPr>
                <w:rFonts w:eastAsia="Times New Roman" w:cs="Calibri"/>
                <w:b/>
                <w:bCs/>
                <w:color w:val="0E101A"/>
                <w:sz w:val="20"/>
                <w:szCs w:val="20"/>
                <w:lang w:val="en-US" w:eastAsia="el-GR"/>
              </w:rPr>
              <w:t>Figure 13</w:t>
            </w:r>
            <w:r>
              <w:rPr>
                <w:rFonts w:eastAsia="Times New Roman" w:cs="Calibri"/>
                <w:color w:val="0E101A"/>
                <w:sz w:val="20"/>
                <w:szCs w:val="20"/>
                <w:lang w:val="en-US" w:eastAsia="el-GR"/>
              </w:rPr>
              <w:t>: CANTITO’s mid-part 3D section, indicating the transversal and longitudinal ship’s structural components</w:t>
            </w:r>
          </w:p>
        </w:tc>
      </w:tr>
    </w:tbl>
    <w:p w14:paraId="4896A4FF" w14:textId="77777777" w:rsidR="000B139B" w:rsidRDefault="000B139B">
      <w:pPr>
        <w:spacing w:line="360" w:lineRule="auto"/>
        <w:jc w:val="both"/>
        <w:rPr>
          <w:lang w:val="en-US"/>
        </w:rPr>
      </w:pPr>
    </w:p>
    <w:p w14:paraId="56449E41" w14:textId="77777777" w:rsidR="000B139B" w:rsidRDefault="000B139B">
      <w:pPr>
        <w:spacing w:line="360" w:lineRule="auto"/>
        <w:jc w:val="both"/>
        <w:rPr>
          <w:lang w:val="en-US"/>
        </w:rPr>
      </w:pPr>
    </w:p>
    <w:p w14:paraId="217818BA" w14:textId="77777777" w:rsidR="000B139B" w:rsidRDefault="000B139B">
      <w:pPr>
        <w:spacing w:line="360" w:lineRule="auto"/>
        <w:jc w:val="both"/>
        <w:rPr>
          <w:lang w:val="en-US"/>
        </w:rPr>
      </w:pPr>
    </w:p>
    <w:p w14:paraId="17596DBE" w14:textId="77777777" w:rsidR="000B139B" w:rsidRDefault="00DB4960">
      <w:pPr>
        <w:pStyle w:val="ListParagraph"/>
        <w:numPr>
          <w:ilvl w:val="0"/>
          <w:numId w:val="1"/>
        </w:numPr>
        <w:tabs>
          <w:tab w:val="left" w:pos="360"/>
        </w:tabs>
        <w:spacing w:line="360" w:lineRule="auto"/>
        <w:ind w:left="360"/>
        <w:jc w:val="both"/>
        <w:rPr>
          <w:rFonts w:cs="Calibri"/>
          <w:b/>
          <w:bCs/>
          <w:sz w:val="24"/>
          <w:szCs w:val="24"/>
          <w:lang w:val="en-US"/>
        </w:rPr>
      </w:pPr>
      <w:r>
        <w:rPr>
          <w:rFonts w:cs="Calibri"/>
          <w:b/>
          <w:bCs/>
          <w:sz w:val="24"/>
          <w:szCs w:val="24"/>
          <w:lang w:val="en-US"/>
        </w:rPr>
        <w:t>Conclusions</w:t>
      </w:r>
    </w:p>
    <w:p w14:paraId="5CD3C127" w14:textId="77777777" w:rsidR="000B139B" w:rsidRDefault="00DB4960">
      <w:pPr>
        <w:autoSpaceDE w:val="0"/>
        <w:spacing w:after="0" w:line="360" w:lineRule="auto"/>
        <w:jc w:val="both"/>
      </w:pPr>
      <w:r>
        <w:rPr>
          <w:rFonts w:cs="Calibri"/>
          <w:sz w:val="24"/>
          <w:szCs w:val="24"/>
          <w:lang w:val="en-US"/>
        </w:rPr>
        <w:t xml:space="preserve">The technical analysis of a shipbuilding contract can only reveal </w:t>
      </w:r>
      <w:r>
        <w:rPr>
          <w:rFonts w:cs="Calibri"/>
          <w:sz w:val="24"/>
          <w:szCs w:val="24"/>
          <w:lang w:val="en-US"/>
        </w:rPr>
        <w:t>specific information about the ship’s structure. However, the combination of the information derived from each document together with data obtained from previous research on the topic, can lead to a more comprehensive approach. Thus, the fact that the dime</w:t>
      </w:r>
      <w:r>
        <w:rPr>
          <w:rFonts w:cs="Calibri"/>
          <w:sz w:val="24"/>
          <w:szCs w:val="24"/>
          <w:lang w:val="en-US"/>
        </w:rPr>
        <w:t>nsional and positioning data of transversal elements - frames and beams – were more specific than the longitudinal, is indicative of the conceptual phase of the construction. Quantities</w:t>
      </w:r>
      <w:r>
        <w:rPr>
          <w:lang w:val="en-US"/>
        </w:rPr>
        <w:t xml:space="preserve"> of parts mainly concerned longitudinal reinforcing elements, such as t</w:t>
      </w:r>
      <w:r>
        <w:rPr>
          <w:lang w:val="en-US"/>
        </w:rPr>
        <w:t xml:space="preserve">he keel, keelson, shelf clamps and </w:t>
      </w:r>
      <w:proofErr w:type="spellStart"/>
      <w:r>
        <w:rPr>
          <w:lang w:val="en-US"/>
        </w:rPr>
        <w:t>footwales</w:t>
      </w:r>
      <w:proofErr w:type="spellEnd"/>
      <w:r>
        <w:rPr>
          <w:lang w:val="en-US"/>
        </w:rPr>
        <w:t>; still their positioning could only be approximately estimated.</w:t>
      </w:r>
    </w:p>
    <w:p w14:paraId="42A5D8AC" w14:textId="77777777" w:rsidR="000B139B" w:rsidRDefault="000B139B">
      <w:pPr>
        <w:pStyle w:val="ListParagraph"/>
        <w:autoSpaceDE w:val="0"/>
        <w:spacing w:after="0" w:line="360" w:lineRule="auto"/>
        <w:jc w:val="both"/>
        <w:rPr>
          <w:lang w:val="en-US"/>
        </w:rPr>
      </w:pPr>
    </w:p>
    <w:p w14:paraId="6F7620B6" w14:textId="77777777" w:rsidR="000B139B" w:rsidRDefault="00DB4960">
      <w:pPr>
        <w:pStyle w:val="ListParagraph"/>
        <w:spacing w:line="360" w:lineRule="auto"/>
        <w:ind w:left="0"/>
      </w:pPr>
      <w:r>
        <w:rPr>
          <w:rFonts w:cs="Calibri"/>
          <w:sz w:val="24"/>
          <w:szCs w:val="24"/>
          <w:lang w:val="en-US"/>
        </w:rPr>
        <w:t>These facts generate questions regarding the shipwrights and the owner’s perception of the ship’s final structure. Shipwrights were able to percei</w:t>
      </w:r>
      <w:r>
        <w:rPr>
          <w:rFonts w:cs="Calibri"/>
          <w:sz w:val="24"/>
          <w:szCs w:val="24"/>
          <w:lang w:val="en-US"/>
        </w:rPr>
        <w:t>ve the shipbuilding contracts as a way to define the number and size of timbers required for the ship’s construction. More specifically, the form and the size of the ship was defined by the keel and the frames (basic dimensions). Therefore, these component</w:t>
      </w:r>
      <w:r>
        <w:rPr>
          <w:rFonts w:cs="Calibri"/>
          <w:sz w:val="24"/>
          <w:szCs w:val="24"/>
          <w:lang w:val="en-US"/>
        </w:rPr>
        <w:t>s probably were enough for the owner’s ship perception. T</w:t>
      </w:r>
      <w:r>
        <w:rPr>
          <w:lang w:val="en-US"/>
        </w:rPr>
        <w:t xml:space="preserve">he number of frames was not initially specified because what mattered for the ship’s integrity was their construction details. Their number was flexible and was supposed to be finalized according to </w:t>
      </w:r>
      <w:r>
        <w:rPr>
          <w:lang w:val="en-US"/>
        </w:rPr>
        <w:t xml:space="preserve">the final length of the ship. </w:t>
      </w:r>
      <w:r>
        <w:rPr>
          <w:rFonts w:cs="Calibri"/>
          <w:sz w:val="24"/>
          <w:szCs w:val="24"/>
          <w:lang w:val="en-US"/>
        </w:rPr>
        <w:t xml:space="preserve"> The exact positioning of the longitudinal reinforcing elements was not necessary to be predefined, since their actual role depended on their thickness which indicated the strength of the ship and its ability to resist in wate</w:t>
      </w:r>
      <w:r>
        <w:rPr>
          <w:rFonts w:cs="Calibri"/>
          <w:sz w:val="24"/>
          <w:szCs w:val="24"/>
          <w:lang w:val="en-US"/>
        </w:rPr>
        <w:t xml:space="preserve">r or wind strains. </w:t>
      </w:r>
      <w:r>
        <w:rPr>
          <w:lang w:val="en-US"/>
        </w:rPr>
        <w:t>Whatever was the perception of the owners and shipwrights, however, the shipbuilding contract reflects the initial conception of the ship. Its realization was a process conducted under empirical knowledge and the final structure was only</w:t>
      </w:r>
      <w:r>
        <w:rPr>
          <w:lang w:val="en-US"/>
        </w:rPr>
        <w:t xml:space="preserve"> perceived in the mind of the shipwright during its construction (</w:t>
      </w:r>
      <w:r>
        <w:rPr>
          <w:b/>
          <w:bCs/>
          <w:lang w:val="en-US"/>
        </w:rPr>
        <w:t>Fig. 1</w:t>
      </w:r>
      <w:r>
        <w:rPr>
          <w:lang w:val="en-US"/>
        </w:rPr>
        <w:t>4).</w:t>
      </w:r>
    </w:p>
    <w:p w14:paraId="21D1EB58" w14:textId="77777777" w:rsidR="000B139B" w:rsidRDefault="00DB4960">
      <w:pPr>
        <w:autoSpaceDE w:val="0"/>
        <w:spacing w:after="0" w:line="276" w:lineRule="auto"/>
        <w:jc w:val="both"/>
      </w:pPr>
      <w:r>
        <w:rPr>
          <w:noProof/>
        </w:rPr>
        <w:lastRenderedPageBreak/>
        <w:drawing>
          <wp:anchor distT="0" distB="0" distL="114300" distR="114300" simplePos="0" relativeHeight="251660288" behindDoc="0" locked="0" layoutInCell="1" allowOverlap="1" wp14:anchorId="66A05C4C" wp14:editId="3101BBF5">
            <wp:simplePos x="0" y="0"/>
            <wp:positionH relativeFrom="column">
              <wp:posOffset>0</wp:posOffset>
            </wp:positionH>
            <wp:positionV relativeFrom="paragraph">
              <wp:posOffset>-1901</wp:posOffset>
            </wp:positionV>
            <wp:extent cx="5274314" cy="4058280"/>
            <wp:effectExtent l="0" t="0" r="0" b="5720"/>
            <wp:wrapTight wrapText="bothSides">
              <wp:wrapPolygon edited="0">
                <wp:start x="0" y="0"/>
                <wp:lineTo x="0" y="21566"/>
                <wp:lineTo x="21532" y="21566"/>
                <wp:lineTo x="21532" y="0"/>
                <wp:lineTo x="0" y="0"/>
              </wp:wrapPolygon>
            </wp:wrapTight>
            <wp:docPr id="14" name="Picture 13" descr="A picture containing ground, outdoor, di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274314" cy="4058280"/>
                    </a:xfrm>
                    <a:prstGeom prst="rect">
                      <a:avLst/>
                    </a:prstGeom>
                    <a:noFill/>
                    <a:ln>
                      <a:noFill/>
                      <a:prstDash/>
                    </a:ln>
                  </pic:spPr>
                </pic:pic>
              </a:graphicData>
            </a:graphic>
          </wp:anchor>
        </w:drawing>
      </w:r>
      <w:bookmarkStart w:id="14" w:name="_Hlk59884770"/>
      <w:r>
        <w:rPr>
          <w:rFonts w:cs="Calibri"/>
          <w:b/>
          <w:bCs/>
          <w:sz w:val="20"/>
          <w:szCs w:val="20"/>
          <w:lang w:val="en-US"/>
        </w:rPr>
        <w:t>Figure 14</w:t>
      </w:r>
      <w:r>
        <w:rPr>
          <w:rFonts w:cs="Calibri"/>
          <w:sz w:val="20"/>
          <w:szCs w:val="20"/>
          <w:lang w:val="en-US"/>
        </w:rPr>
        <w:t xml:space="preserve">: </w:t>
      </w:r>
      <w:proofErr w:type="spellStart"/>
      <w:r>
        <w:rPr>
          <w:rFonts w:cs="Calibri"/>
          <w:sz w:val="20"/>
          <w:szCs w:val="20"/>
          <w:lang w:val="en-US"/>
        </w:rPr>
        <w:t>Yero-Glaros</w:t>
      </w:r>
      <w:proofErr w:type="spellEnd"/>
      <w:r>
        <w:rPr>
          <w:rFonts w:cs="Calibri"/>
          <w:sz w:val="20"/>
          <w:szCs w:val="20"/>
          <w:lang w:val="en-US"/>
        </w:rPr>
        <w:t xml:space="preserve">, an old boatbuilder, drawing the design for a new vessel in the sand of the boatyards at </w:t>
      </w:r>
      <w:proofErr w:type="spellStart"/>
      <w:r>
        <w:rPr>
          <w:rFonts w:cs="Calibri"/>
          <w:sz w:val="20"/>
          <w:szCs w:val="20"/>
          <w:lang w:val="en-US"/>
        </w:rPr>
        <w:t>Lafassi</w:t>
      </w:r>
      <w:proofErr w:type="spellEnd"/>
      <w:r>
        <w:rPr>
          <w:rFonts w:cs="Calibri"/>
          <w:sz w:val="20"/>
          <w:szCs w:val="20"/>
          <w:lang w:val="en-US"/>
        </w:rPr>
        <w:t>, Kalymnos, Greece (</w:t>
      </w:r>
      <w:proofErr w:type="spellStart"/>
      <w:r>
        <w:rPr>
          <w:rFonts w:cs="Calibri"/>
          <w:sz w:val="20"/>
          <w:szCs w:val="20"/>
          <w:lang w:val="en-US"/>
        </w:rPr>
        <w:t>Tzamtzis</w:t>
      </w:r>
      <w:proofErr w:type="spellEnd"/>
      <w:r>
        <w:rPr>
          <w:rFonts w:cs="Calibri"/>
          <w:sz w:val="20"/>
          <w:szCs w:val="20"/>
          <w:lang w:val="en-US"/>
        </w:rPr>
        <w:t xml:space="preserve"> 1972: Fig. 27)</w:t>
      </w:r>
      <w:bookmarkEnd w:id="14"/>
      <w:r>
        <w:rPr>
          <w:rFonts w:cs="Calibri"/>
          <w:sz w:val="20"/>
          <w:szCs w:val="20"/>
          <w:lang w:val="en-US"/>
        </w:rPr>
        <w:t>.</w:t>
      </w:r>
    </w:p>
    <w:p w14:paraId="0D3E40F3" w14:textId="77777777" w:rsidR="000B139B" w:rsidRDefault="000B139B">
      <w:pPr>
        <w:autoSpaceDE w:val="0"/>
        <w:spacing w:after="0" w:line="276" w:lineRule="auto"/>
        <w:jc w:val="both"/>
        <w:rPr>
          <w:lang w:val="en-US"/>
        </w:rPr>
      </w:pPr>
    </w:p>
    <w:p w14:paraId="284E63AD" w14:textId="77777777" w:rsidR="000B139B" w:rsidRDefault="00DB4960">
      <w:pPr>
        <w:spacing w:line="360" w:lineRule="auto"/>
        <w:jc w:val="both"/>
      </w:pPr>
      <w:r>
        <w:rPr>
          <w:rFonts w:cs="Calibri"/>
          <w:sz w:val="24"/>
          <w:szCs w:val="24"/>
          <w:lang w:val="en-US"/>
        </w:rPr>
        <w:t>Approaching hi</w:t>
      </w:r>
      <w:r>
        <w:rPr>
          <w:rFonts w:cs="Calibri"/>
          <w:sz w:val="24"/>
          <w:szCs w:val="24"/>
          <w:lang w:val="en-US"/>
        </w:rPr>
        <w:t>storical evidence through technical disciplines, offers a multidisciplinary point of view to the field of nautical archaeology, and sheds light on material aspects regarding historic shipwrecks.</w:t>
      </w:r>
      <w:r>
        <w:rPr>
          <w:rFonts w:cs="Calibri"/>
          <w:b/>
          <w:bCs/>
          <w:sz w:val="24"/>
          <w:szCs w:val="24"/>
          <w:lang w:val="en-US"/>
        </w:rPr>
        <w:t xml:space="preserve"> </w:t>
      </w:r>
      <w:r>
        <w:rPr>
          <w:rFonts w:cs="Calibri"/>
          <w:sz w:val="24"/>
          <w:szCs w:val="24"/>
          <w:lang w:val="en-US"/>
        </w:rPr>
        <w:t>Therefore, the examination and visualization of more brigs’ c</w:t>
      </w:r>
      <w:r>
        <w:rPr>
          <w:rFonts w:cs="Calibri"/>
          <w:sz w:val="24"/>
          <w:szCs w:val="24"/>
          <w:lang w:val="en-US"/>
        </w:rPr>
        <w:t xml:space="preserve">ontracts would be useful for future research, especially if they were grouped into categories concerning: </w:t>
      </w:r>
    </w:p>
    <w:p w14:paraId="62529C91" w14:textId="77777777" w:rsidR="000B139B" w:rsidRDefault="00DB4960">
      <w:pPr>
        <w:pStyle w:val="ListParagraph"/>
        <w:numPr>
          <w:ilvl w:val="0"/>
          <w:numId w:val="5"/>
        </w:numPr>
        <w:autoSpaceDE w:val="0"/>
        <w:spacing w:after="0" w:line="360" w:lineRule="auto"/>
        <w:jc w:val="both"/>
        <w:textAlignment w:val="auto"/>
        <w:rPr>
          <w:rFonts w:cs="Calibri"/>
          <w:sz w:val="24"/>
          <w:szCs w:val="24"/>
          <w:lang w:val="en-US"/>
        </w:rPr>
      </w:pPr>
      <w:r>
        <w:rPr>
          <w:rFonts w:cs="Calibri"/>
          <w:sz w:val="24"/>
          <w:szCs w:val="24"/>
          <w:lang w:val="en-US"/>
        </w:rPr>
        <w:t>ships constructed during different decades (technological changes)</w:t>
      </w:r>
    </w:p>
    <w:p w14:paraId="164D53C6" w14:textId="77777777" w:rsidR="000B139B" w:rsidRDefault="00DB4960">
      <w:pPr>
        <w:pStyle w:val="ListParagraph"/>
        <w:numPr>
          <w:ilvl w:val="0"/>
          <w:numId w:val="5"/>
        </w:numPr>
        <w:autoSpaceDE w:val="0"/>
        <w:spacing w:after="0" w:line="360" w:lineRule="auto"/>
        <w:jc w:val="both"/>
        <w:textAlignment w:val="auto"/>
        <w:rPr>
          <w:rFonts w:cs="Calibri"/>
          <w:sz w:val="24"/>
          <w:szCs w:val="24"/>
          <w:lang w:val="en-US"/>
        </w:rPr>
      </w:pPr>
      <w:r>
        <w:rPr>
          <w:rFonts w:cs="Calibri"/>
          <w:sz w:val="24"/>
          <w:szCs w:val="24"/>
          <w:lang w:val="en-US"/>
        </w:rPr>
        <w:t>ships’ rigging equipment (number of sails and gear elements)</w:t>
      </w:r>
    </w:p>
    <w:p w14:paraId="2F939864" w14:textId="77777777" w:rsidR="000B139B" w:rsidRDefault="00DB4960">
      <w:pPr>
        <w:pStyle w:val="ListParagraph"/>
        <w:numPr>
          <w:ilvl w:val="0"/>
          <w:numId w:val="5"/>
        </w:numPr>
        <w:autoSpaceDE w:val="0"/>
        <w:spacing w:after="0" w:line="360" w:lineRule="auto"/>
        <w:jc w:val="both"/>
        <w:textAlignment w:val="auto"/>
        <w:rPr>
          <w:rFonts w:cs="Calibri"/>
          <w:sz w:val="24"/>
          <w:szCs w:val="24"/>
          <w:lang w:val="en-US"/>
        </w:rPr>
      </w:pPr>
      <w:r>
        <w:rPr>
          <w:rFonts w:cs="Calibri"/>
          <w:sz w:val="24"/>
          <w:szCs w:val="24"/>
          <w:lang w:val="en-US"/>
        </w:rPr>
        <w:t xml:space="preserve">ships with </w:t>
      </w:r>
      <w:r>
        <w:rPr>
          <w:rFonts w:cs="Calibri"/>
          <w:sz w:val="24"/>
          <w:szCs w:val="24"/>
          <w:lang w:val="en-US"/>
        </w:rPr>
        <w:t>similar dimensions (particularities of the structure)</w:t>
      </w:r>
    </w:p>
    <w:p w14:paraId="4C49F66A" w14:textId="77777777" w:rsidR="000B139B" w:rsidRDefault="00DB4960">
      <w:pPr>
        <w:pStyle w:val="ListParagraph"/>
        <w:numPr>
          <w:ilvl w:val="0"/>
          <w:numId w:val="5"/>
        </w:numPr>
        <w:autoSpaceDE w:val="0"/>
        <w:spacing w:after="0" w:line="360" w:lineRule="auto"/>
        <w:jc w:val="both"/>
        <w:textAlignment w:val="auto"/>
        <w:rPr>
          <w:rFonts w:cs="Calibri"/>
          <w:sz w:val="24"/>
          <w:szCs w:val="24"/>
          <w:lang w:val="en-US"/>
        </w:rPr>
      </w:pPr>
      <w:r>
        <w:rPr>
          <w:rFonts w:cs="Calibri"/>
          <w:sz w:val="24"/>
          <w:szCs w:val="24"/>
          <w:lang w:val="en-US"/>
        </w:rPr>
        <w:t>ships constructed by the same shipwrights (shipbuilders’ knowledge)</w:t>
      </w:r>
    </w:p>
    <w:p w14:paraId="4C7F224A" w14:textId="77777777" w:rsidR="000B139B" w:rsidRDefault="00DB4960">
      <w:pPr>
        <w:pStyle w:val="ListParagraph"/>
        <w:numPr>
          <w:ilvl w:val="0"/>
          <w:numId w:val="5"/>
        </w:numPr>
        <w:autoSpaceDE w:val="0"/>
        <w:spacing w:after="0" w:line="360" w:lineRule="auto"/>
        <w:jc w:val="both"/>
        <w:textAlignment w:val="auto"/>
        <w:rPr>
          <w:rFonts w:cs="Calibri"/>
          <w:sz w:val="24"/>
          <w:szCs w:val="24"/>
          <w:lang w:val="en-US"/>
        </w:rPr>
      </w:pPr>
      <w:r>
        <w:rPr>
          <w:rFonts w:cs="Calibri"/>
          <w:sz w:val="24"/>
          <w:szCs w:val="24"/>
          <w:lang w:val="en-US"/>
        </w:rPr>
        <w:t>ships constructed for the same owner (owner’s needs)</w:t>
      </w:r>
    </w:p>
    <w:p w14:paraId="44534C4C" w14:textId="77777777" w:rsidR="000B139B" w:rsidRDefault="000B139B">
      <w:pPr>
        <w:pStyle w:val="ListParagraph"/>
        <w:autoSpaceDE w:val="0"/>
        <w:spacing w:after="0" w:line="360" w:lineRule="auto"/>
        <w:jc w:val="both"/>
        <w:textAlignment w:val="auto"/>
        <w:rPr>
          <w:rFonts w:cs="Calibri"/>
          <w:sz w:val="24"/>
          <w:szCs w:val="24"/>
          <w:lang w:val="en-US"/>
        </w:rPr>
      </w:pPr>
    </w:p>
    <w:p w14:paraId="4AA2CA2A" w14:textId="77777777" w:rsidR="000B139B" w:rsidRDefault="000B139B">
      <w:pPr>
        <w:pStyle w:val="ListParagraph"/>
        <w:autoSpaceDE w:val="0"/>
        <w:spacing w:after="0" w:line="360" w:lineRule="auto"/>
        <w:jc w:val="both"/>
        <w:textAlignment w:val="auto"/>
        <w:rPr>
          <w:rFonts w:cs="Calibri"/>
          <w:sz w:val="24"/>
          <w:szCs w:val="24"/>
          <w:lang w:val="en-US"/>
        </w:rPr>
      </w:pPr>
    </w:p>
    <w:p w14:paraId="62327CD4" w14:textId="77777777" w:rsidR="000B139B" w:rsidRDefault="000B139B">
      <w:pPr>
        <w:pStyle w:val="ListParagraph"/>
        <w:autoSpaceDE w:val="0"/>
        <w:spacing w:after="0" w:line="360" w:lineRule="auto"/>
        <w:jc w:val="both"/>
        <w:textAlignment w:val="auto"/>
        <w:rPr>
          <w:rFonts w:cs="Calibri"/>
          <w:sz w:val="24"/>
          <w:szCs w:val="24"/>
          <w:lang w:val="en-US"/>
        </w:rPr>
      </w:pPr>
    </w:p>
    <w:p w14:paraId="45EBCD79" w14:textId="77777777" w:rsidR="000B139B" w:rsidRDefault="000B139B">
      <w:pPr>
        <w:pStyle w:val="ListParagraph"/>
        <w:autoSpaceDE w:val="0"/>
        <w:spacing w:after="0" w:line="360" w:lineRule="auto"/>
        <w:jc w:val="both"/>
        <w:textAlignment w:val="auto"/>
        <w:rPr>
          <w:rFonts w:cs="Calibri"/>
          <w:sz w:val="24"/>
          <w:szCs w:val="24"/>
          <w:lang w:val="en-US"/>
        </w:rPr>
      </w:pPr>
    </w:p>
    <w:p w14:paraId="0236697C" w14:textId="77777777" w:rsidR="000B139B" w:rsidRDefault="000B139B">
      <w:pPr>
        <w:pStyle w:val="ListParagraph"/>
        <w:autoSpaceDE w:val="0"/>
        <w:spacing w:after="0" w:line="360" w:lineRule="auto"/>
        <w:jc w:val="both"/>
        <w:textAlignment w:val="auto"/>
        <w:rPr>
          <w:rFonts w:cs="Calibri"/>
          <w:sz w:val="24"/>
          <w:szCs w:val="24"/>
          <w:lang w:val="en-US"/>
        </w:rPr>
      </w:pPr>
    </w:p>
    <w:p w14:paraId="7C797B4E" w14:textId="77777777" w:rsidR="000B139B" w:rsidRDefault="00DB4960">
      <w:pPr>
        <w:pStyle w:val="ListParagraph"/>
        <w:autoSpaceDE w:val="0"/>
        <w:spacing w:after="0" w:line="360" w:lineRule="auto"/>
        <w:ind w:left="0"/>
        <w:jc w:val="both"/>
        <w:textAlignment w:val="auto"/>
        <w:rPr>
          <w:rFonts w:cs="Calibri"/>
          <w:b/>
          <w:bCs/>
          <w:sz w:val="24"/>
          <w:szCs w:val="24"/>
          <w:lang w:val="en-US"/>
        </w:rPr>
      </w:pPr>
      <w:r>
        <w:rPr>
          <w:rFonts w:cs="Calibri"/>
          <w:b/>
          <w:bCs/>
          <w:sz w:val="24"/>
          <w:szCs w:val="24"/>
          <w:lang w:val="en-US"/>
        </w:rPr>
        <w:lastRenderedPageBreak/>
        <w:t xml:space="preserve">Bibliography </w:t>
      </w:r>
    </w:p>
    <w:p w14:paraId="5B7C678E" w14:textId="77777777" w:rsidR="000B139B" w:rsidRDefault="00DB4960">
      <w:pPr>
        <w:spacing w:before="240" w:line="276" w:lineRule="auto"/>
        <w:jc w:val="both"/>
      </w:pPr>
      <w:proofErr w:type="spellStart"/>
      <w:r>
        <w:rPr>
          <w:rFonts w:cs="Calibri"/>
          <w:sz w:val="24"/>
          <w:szCs w:val="24"/>
          <w:lang w:val="en-US"/>
        </w:rPr>
        <w:t>Adamopoulou</w:t>
      </w:r>
      <w:proofErr w:type="spellEnd"/>
      <w:r>
        <w:rPr>
          <w:rFonts w:cs="Calibri"/>
          <w:sz w:val="24"/>
          <w:szCs w:val="24"/>
          <w:lang w:val="en-US"/>
        </w:rPr>
        <w:t>, Nt. (2014). “</w:t>
      </w:r>
      <w:r>
        <w:rPr>
          <w:rFonts w:cs="Calibri"/>
          <w:sz w:val="24"/>
          <w:szCs w:val="24"/>
        </w:rPr>
        <w:t>Άρης</w:t>
      </w:r>
      <w:r>
        <w:rPr>
          <w:rFonts w:cs="Calibri"/>
          <w:sz w:val="24"/>
          <w:szCs w:val="24"/>
          <w:lang w:val="en-US"/>
        </w:rPr>
        <w:t xml:space="preserve">”: </w:t>
      </w:r>
      <w:r>
        <w:rPr>
          <w:rFonts w:cs="Calibri"/>
          <w:sz w:val="24"/>
          <w:szCs w:val="24"/>
        </w:rPr>
        <w:t>Το</w:t>
      </w:r>
      <w:r>
        <w:rPr>
          <w:rFonts w:cs="Calibri"/>
          <w:sz w:val="24"/>
          <w:szCs w:val="24"/>
          <w:lang w:val="en-US"/>
        </w:rPr>
        <w:t xml:space="preserve"> </w:t>
      </w:r>
      <w:r>
        <w:rPr>
          <w:rFonts w:cs="Calibri"/>
          <w:sz w:val="24"/>
          <w:szCs w:val="24"/>
        </w:rPr>
        <w:t>σύμβολο</w:t>
      </w:r>
      <w:r>
        <w:rPr>
          <w:rFonts w:cs="Calibri"/>
          <w:sz w:val="24"/>
          <w:szCs w:val="24"/>
          <w:lang w:val="en-US"/>
        </w:rPr>
        <w:t xml:space="preserve"> </w:t>
      </w:r>
      <w:r>
        <w:rPr>
          <w:rFonts w:cs="Calibri"/>
          <w:sz w:val="24"/>
          <w:szCs w:val="24"/>
        </w:rPr>
        <w:t>της</w:t>
      </w:r>
      <w:r>
        <w:rPr>
          <w:rFonts w:cs="Calibri"/>
          <w:sz w:val="24"/>
          <w:szCs w:val="24"/>
          <w:lang w:val="en-US"/>
        </w:rPr>
        <w:t xml:space="preserve"> </w:t>
      </w:r>
      <w:r>
        <w:rPr>
          <w:rFonts w:cs="Calibri"/>
          <w:sz w:val="24"/>
          <w:szCs w:val="24"/>
        </w:rPr>
        <w:t>Ελληνικής</w:t>
      </w:r>
      <w:r>
        <w:rPr>
          <w:rFonts w:cs="Calibri"/>
          <w:sz w:val="24"/>
          <w:szCs w:val="24"/>
          <w:lang w:val="en-US"/>
        </w:rPr>
        <w:t xml:space="preserve"> </w:t>
      </w:r>
      <w:r>
        <w:rPr>
          <w:rFonts w:cs="Calibri"/>
          <w:sz w:val="24"/>
          <w:szCs w:val="24"/>
        </w:rPr>
        <w:t>Ναυτιλίας</w:t>
      </w:r>
      <w:r>
        <w:rPr>
          <w:rFonts w:cs="Calibri"/>
          <w:sz w:val="24"/>
          <w:szCs w:val="24"/>
          <w:lang w:val="en-US"/>
        </w:rPr>
        <w:t xml:space="preserve"> (19</w:t>
      </w:r>
      <w:proofErr w:type="spellStart"/>
      <w:r>
        <w:rPr>
          <w:rFonts w:cs="Calibri"/>
          <w:sz w:val="24"/>
          <w:szCs w:val="24"/>
          <w:vertAlign w:val="superscript"/>
        </w:rPr>
        <w:t>ος</w:t>
      </w:r>
      <w:proofErr w:type="spellEnd"/>
      <w:r>
        <w:rPr>
          <w:rFonts w:cs="Calibri"/>
          <w:sz w:val="24"/>
          <w:szCs w:val="24"/>
          <w:lang w:val="en-US"/>
        </w:rPr>
        <w:t xml:space="preserve"> </w:t>
      </w:r>
      <w:r>
        <w:rPr>
          <w:rFonts w:cs="Calibri"/>
          <w:sz w:val="24"/>
          <w:szCs w:val="24"/>
        </w:rPr>
        <w:t>αιώνας</w:t>
      </w:r>
      <w:r>
        <w:rPr>
          <w:rFonts w:cs="Calibri"/>
          <w:sz w:val="24"/>
          <w:szCs w:val="24"/>
          <w:lang w:val="en-US"/>
        </w:rPr>
        <w:t xml:space="preserve">) [“Aris”: The symbol of Greek Shipping] in K. A. </w:t>
      </w:r>
      <w:proofErr w:type="spellStart"/>
      <w:r>
        <w:rPr>
          <w:rFonts w:cs="Calibri"/>
          <w:sz w:val="24"/>
          <w:szCs w:val="24"/>
          <w:lang w:val="en-US"/>
        </w:rPr>
        <w:t>Damianidis</w:t>
      </w:r>
      <w:proofErr w:type="spellEnd"/>
      <w:r>
        <w:rPr>
          <w:rFonts w:cs="Calibri"/>
          <w:sz w:val="24"/>
          <w:szCs w:val="24"/>
          <w:lang w:val="en-US"/>
        </w:rPr>
        <w:t xml:space="preserve"> 2014 , pp. 320-330.  </w:t>
      </w:r>
    </w:p>
    <w:p w14:paraId="4E9DAC0B" w14:textId="77777777" w:rsidR="000B139B" w:rsidRDefault="00DB4960">
      <w:pPr>
        <w:autoSpaceDE w:val="0"/>
        <w:spacing w:after="0" w:line="276" w:lineRule="auto"/>
      </w:pPr>
      <w:bookmarkStart w:id="15" w:name="_Hlk62813752"/>
      <w:proofErr w:type="spellStart"/>
      <w:r>
        <w:rPr>
          <w:rFonts w:cs="Calibri"/>
          <w:sz w:val="24"/>
          <w:szCs w:val="24"/>
          <w:lang w:val="en-US"/>
        </w:rPr>
        <w:t>Boetto</w:t>
      </w:r>
      <w:proofErr w:type="spellEnd"/>
      <w:r>
        <w:rPr>
          <w:rFonts w:cs="Calibri"/>
          <w:sz w:val="24"/>
          <w:szCs w:val="24"/>
          <w:lang w:val="en-US"/>
        </w:rPr>
        <w:t>, G. and Poveda, P. (2018).</w:t>
      </w:r>
      <w:r>
        <w:rPr>
          <w:rFonts w:cs="Calibri"/>
          <w:b/>
          <w:bCs/>
          <w:sz w:val="24"/>
          <w:szCs w:val="24"/>
          <w:lang w:val="en-US"/>
        </w:rPr>
        <w:t xml:space="preserve"> </w:t>
      </w:r>
      <w:r>
        <w:rPr>
          <w:rStyle w:val="Emphasis"/>
          <w:sz w:val="24"/>
          <w:szCs w:val="24"/>
          <w:lang w:val="en-US"/>
        </w:rPr>
        <w:t>Napoli A</w:t>
      </w:r>
      <w:r>
        <w:rPr>
          <w:rStyle w:val="text"/>
          <w:sz w:val="24"/>
          <w:szCs w:val="24"/>
          <w:lang w:val="en-US"/>
        </w:rPr>
        <w:t xml:space="preserve">, un </w:t>
      </w:r>
      <w:proofErr w:type="spellStart"/>
      <w:r>
        <w:rPr>
          <w:rStyle w:val="text"/>
          <w:sz w:val="24"/>
          <w:szCs w:val="24"/>
          <w:lang w:val="en-US"/>
        </w:rPr>
        <w:t>voilier</w:t>
      </w:r>
      <w:proofErr w:type="spellEnd"/>
      <w:r>
        <w:rPr>
          <w:rStyle w:val="text"/>
          <w:sz w:val="24"/>
          <w:szCs w:val="24"/>
          <w:lang w:val="en-US"/>
        </w:rPr>
        <w:t xml:space="preserve"> </w:t>
      </w:r>
      <w:proofErr w:type="spellStart"/>
      <w:r>
        <w:rPr>
          <w:rStyle w:val="text"/>
          <w:sz w:val="24"/>
          <w:szCs w:val="24"/>
          <w:lang w:val="en-US"/>
        </w:rPr>
        <w:t>abandonné</w:t>
      </w:r>
      <w:proofErr w:type="spellEnd"/>
      <w:r>
        <w:rPr>
          <w:rStyle w:val="text"/>
          <w:sz w:val="24"/>
          <w:szCs w:val="24"/>
          <w:lang w:val="en-US"/>
        </w:rPr>
        <w:t xml:space="preserve"> dans le port de </w:t>
      </w:r>
      <w:r>
        <w:rPr>
          <w:rStyle w:val="Emphasis"/>
          <w:sz w:val="24"/>
          <w:szCs w:val="24"/>
          <w:lang w:val="en-US"/>
        </w:rPr>
        <w:t>Neapolis</w:t>
      </w:r>
      <w:r>
        <w:rPr>
          <w:rStyle w:val="Strong"/>
          <w:b w:val="0"/>
          <w:bCs w:val="0"/>
          <w:sz w:val="24"/>
          <w:szCs w:val="24"/>
          <w:lang w:val="en-US"/>
        </w:rPr>
        <w:t xml:space="preserve"> </w:t>
      </w:r>
      <w:r>
        <w:rPr>
          <w:rStyle w:val="text"/>
          <w:sz w:val="24"/>
          <w:szCs w:val="24"/>
          <w:lang w:val="en-US"/>
        </w:rPr>
        <w:t>à la fin du </w:t>
      </w:r>
      <w:proofErr w:type="spellStart"/>
      <w:r>
        <w:rPr>
          <w:rStyle w:val="text"/>
          <w:sz w:val="24"/>
          <w:szCs w:val="24"/>
          <w:lang w:val="en-US"/>
        </w:rPr>
        <w:t>I</w:t>
      </w:r>
      <w:r>
        <w:rPr>
          <w:rStyle w:val="text"/>
          <w:sz w:val="24"/>
          <w:szCs w:val="24"/>
          <w:vertAlign w:val="superscript"/>
          <w:lang w:val="en-US"/>
        </w:rPr>
        <w:t>er</w:t>
      </w:r>
      <w:proofErr w:type="spellEnd"/>
      <w:r>
        <w:rPr>
          <w:rStyle w:val="text"/>
          <w:sz w:val="24"/>
          <w:szCs w:val="24"/>
          <w:lang w:val="en-US"/>
        </w:rPr>
        <w:t xml:space="preserve"> siècle: architecture, </w:t>
      </w:r>
      <w:proofErr w:type="spellStart"/>
      <w:r>
        <w:rPr>
          <w:rStyle w:val="text"/>
          <w:sz w:val="24"/>
          <w:szCs w:val="24"/>
          <w:lang w:val="en-US"/>
        </w:rPr>
        <w:t>fonction</w:t>
      </w:r>
      <w:proofErr w:type="spellEnd"/>
      <w:r>
        <w:rPr>
          <w:rStyle w:val="text"/>
          <w:sz w:val="24"/>
          <w:szCs w:val="24"/>
          <w:lang w:val="en-US"/>
        </w:rPr>
        <w:t>, res</w:t>
      </w:r>
      <w:r>
        <w:rPr>
          <w:rStyle w:val="text"/>
          <w:sz w:val="24"/>
          <w:szCs w:val="24"/>
          <w:lang w:val="en-US"/>
        </w:rPr>
        <w:t xml:space="preserve">titution et </w:t>
      </w:r>
      <w:proofErr w:type="spellStart"/>
      <w:r>
        <w:rPr>
          <w:rStyle w:val="text"/>
          <w:sz w:val="24"/>
          <w:szCs w:val="24"/>
          <w:lang w:val="en-US"/>
        </w:rPr>
        <w:t>espace</w:t>
      </w:r>
      <w:proofErr w:type="spellEnd"/>
      <w:r>
        <w:rPr>
          <w:rStyle w:val="text"/>
          <w:sz w:val="24"/>
          <w:szCs w:val="24"/>
          <w:lang w:val="en-US"/>
        </w:rPr>
        <w:t xml:space="preserve"> de navigation</w:t>
      </w:r>
      <w:r>
        <w:rPr>
          <w:rFonts w:cs="Calibri"/>
          <w:sz w:val="24"/>
          <w:szCs w:val="24"/>
          <w:lang w:val="en"/>
        </w:rPr>
        <w:t xml:space="preserve">, in </w:t>
      </w:r>
      <w:r>
        <w:rPr>
          <w:rFonts w:cs="Calibri"/>
          <w:sz w:val="24"/>
          <w:szCs w:val="24"/>
          <w:lang w:val="en-US"/>
        </w:rPr>
        <w:t xml:space="preserve">G. </w:t>
      </w:r>
      <w:proofErr w:type="spellStart"/>
      <w:r>
        <w:rPr>
          <w:rFonts w:cs="Calibri"/>
          <w:sz w:val="24"/>
          <w:szCs w:val="24"/>
          <w:lang w:val="en-US"/>
        </w:rPr>
        <w:t>Boetto</w:t>
      </w:r>
      <w:proofErr w:type="spellEnd"/>
      <w:r>
        <w:rPr>
          <w:rFonts w:cs="Calibri"/>
          <w:sz w:val="24"/>
          <w:szCs w:val="24"/>
          <w:lang w:val="en-US"/>
        </w:rPr>
        <w:t xml:space="preserve"> et É. </w:t>
      </w:r>
      <w:proofErr w:type="spellStart"/>
      <w:r>
        <w:rPr>
          <w:rFonts w:cs="Calibri"/>
          <w:sz w:val="24"/>
          <w:szCs w:val="24"/>
          <w:lang w:val="en-US"/>
        </w:rPr>
        <w:t>Rieth</w:t>
      </w:r>
      <w:proofErr w:type="spellEnd"/>
      <w:r>
        <w:rPr>
          <w:rFonts w:cs="Calibri"/>
          <w:sz w:val="24"/>
          <w:szCs w:val="24"/>
          <w:lang w:val="en-US"/>
        </w:rPr>
        <w:t xml:space="preserve"> (eds.), ,</w:t>
      </w:r>
      <w:r>
        <w:rPr>
          <w:rFonts w:ascii="Roboto-Light" w:hAnsi="Roboto-Light" w:cs="Roboto-Light"/>
          <w:sz w:val="16"/>
          <w:szCs w:val="16"/>
          <w:lang w:val="en-US"/>
        </w:rPr>
        <w:t xml:space="preserve"> </w:t>
      </w:r>
      <w:r>
        <w:rPr>
          <w:rFonts w:cs="Calibri"/>
          <w:i/>
          <w:iCs/>
          <w:sz w:val="24"/>
          <w:szCs w:val="24"/>
          <w:lang w:val="en-US"/>
        </w:rPr>
        <w:t xml:space="preserve">De re </w:t>
      </w:r>
      <w:proofErr w:type="spellStart"/>
      <w:r>
        <w:rPr>
          <w:rFonts w:cs="Calibri"/>
          <w:i/>
          <w:iCs/>
          <w:sz w:val="24"/>
          <w:szCs w:val="24"/>
          <w:lang w:val="en-US"/>
        </w:rPr>
        <w:t>navali</w:t>
      </w:r>
      <w:proofErr w:type="spellEnd"/>
      <w:r>
        <w:rPr>
          <w:rFonts w:cs="Calibri"/>
          <w:sz w:val="24"/>
          <w:szCs w:val="24"/>
          <w:lang w:val="en-US"/>
        </w:rPr>
        <w:t xml:space="preserve">: </w:t>
      </w:r>
      <w:proofErr w:type="spellStart"/>
      <w:r>
        <w:rPr>
          <w:rFonts w:cs="Calibri"/>
          <w:sz w:val="24"/>
          <w:szCs w:val="24"/>
          <w:lang w:val="en-US"/>
        </w:rPr>
        <w:t>Pérégrinations</w:t>
      </w:r>
      <w:proofErr w:type="spellEnd"/>
      <w:r>
        <w:rPr>
          <w:rFonts w:cs="Calibri"/>
          <w:sz w:val="24"/>
          <w:szCs w:val="24"/>
          <w:lang w:val="en-US"/>
        </w:rPr>
        <w:t xml:space="preserve"> </w:t>
      </w:r>
      <w:proofErr w:type="spellStart"/>
      <w:r>
        <w:rPr>
          <w:rFonts w:cs="Calibri"/>
          <w:sz w:val="24"/>
          <w:szCs w:val="24"/>
          <w:lang w:val="en-US"/>
        </w:rPr>
        <w:t>nautiques</w:t>
      </w:r>
      <w:proofErr w:type="spellEnd"/>
      <w:r>
        <w:rPr>
          <w:rFonts w:cs="Calibri"/>
          <w:sz w:val="24"/>
          <w:szCs w:val="24"/>
          <w:lang w:val="en-US"/>
        </w:rPr>
        <w:t xml:space="preserve"> entre </w:t>
      </w:r>
      <w:proofErr w:type="spellStart"/>
      <w:r>
        <w:rPr>
          <w:rFonts w:cs="Calibri"/>
          <w:sz w:val="24"/>
          <w:szCs w:val="24"/>
          <w:lang w:val="en-US"/>
        </w:rPr>
        <w:t>Méditerranée</w:t>
      </w:r>
      <w:proofErr w:type="spellEnd"/>
      <w:r>
        <w:rPr>
          <w:rFonts w:cs="Calibri"/>
          <w:sz w:val="24"/>
          <w:szCs w:val="24"/>
          <w:lang w:val="en-US"/>
        </w:rPr>
        <w:t xml:space="preserve"> et </w:t>
      </w:r>
      <w:proofErr w:type="spellStart"/>
      <w:r>
        <w:rPr>
          <w:rFonts w:cs="Calibri"/>
          <w:sz w:val="24"/>
          <w:szCs w:val="24"/>
          <w:lang w:val="en-US"/>
        </w:rPr>
        <w:t>océan</w:t>
      </w:r>
      <w:proofErr w:type="spellEnd"/>
      <w:r>
        <w:rPr>
          <w:rFonts w:cs="Calibri"/>
          <w:sz w:val="24"/>
          <w:szCs w:val="24"/>
          <w:lang w:val="en-US"/>
        </w:rPr>
        <w:t xml:space="preserve"> </w:t>
      </w:r>
      <w:proofErr w:type="spellStart"/>
      <w:r>
        <w:rPr>
          <w:rFonts w:cs="Calibri"/>
          <w:sz w:val="24"/>
          <w:szCs w:val="24"/>
          <w:lang w:val="en-US"/>
        </w:rPr>
        <w:t>Indien</w:t>
      </w:r>
      <w:proofErr w:type="spellEnd"/>
      <w:r>
        <w:rPr>
          <w:rFonts w:cs="Calibri"/>
          <w:sz w:val="24"/>
          <w:szCs w:val="24"/>
          <w:lang w:val="en-US"/>
        </w:rPr>
        <w:t>,</w:t>
      </w:r>
      <w:r>
        <w:rPr>
          <w:rFonts w:cs="Calibri"/>
          <w:i/>
          <w:iCs/>
          <w:sz w:val="24"/>
          <w:szCs w:val="24"/>
          <w:lang w:val="en-US"/>
        </w:rPr>
        <w:t xml:space="preserve"> </w:t>
      </w:r>
      <w:proofErr w:type="spellStart"/>
      <w:r>
        <w:rPr>
          <w:rFonts w:cs="Calibri"/>
          <w:i/>
          <w:iCs/>
          <w:sz w:val="24"/>
          <w:szCs w:val="24"/>
          <w:lang w:val="en-US"/>
        </w:rPr>
        <w:t>Archaeonautica</w:t>
      </w:r>
      <w:proofErr w:type="spellEnd"/>
      <w:r>
        <w:rPr>
          <w:rFonts w:cs="Calibri"/>
          <w:sz w:val="24"/>
          <w:szCs w:val="24"/>
          <w:lang w:val="en-US"/>
        </w:rPr>
        <w:t xml:space="preserve">, 20 , </w:t>
      </w:r>
      <w:r>
        <w:rPr>
          <w:rFonts w:cs="Calibri"/>
          <w:sz w:val="24"/>
          <w:szCs w:val="24"/>
          <w:lang w:val="en"/>
        </w:rPr>
        <w:t>pp. 19-56.</w:t>
      </w:r>
      <w:bookmarkEnd w:id="15"/>
    </w:p>
    <w:p w14:paraId="11DE0CB2" w14:textId="77777777" w:rsidR="000B139B" w:rsidRDefault="000B139B">
      <w:pPr>
        <w:autoSpaceDE w:val="0"/>
        <w:spacing w:after="0" w:line="276" w:lineRule="auto"/>
        <w:rPr>
          <w:rFonts w:ascii="Roboto-Light" w:hAnsi="Roboto-Light" w:cs="Roboto-Light"/>
          <w:sz w:val="16"/>
          <w:szCs w:val="16"/>
          <w:lang w:val="en-US"/>
        </w:rPr>
      </w:pPr>
    </w:p>
    <w:p w14:paraId="0E99D552" w14:textId="77777777" w:rsidR="000B139B" w:rsidRDefault="00DB4960">
      <w:pPr>
        <w:autoSpaceDE w:val="0"/>
        <w:spacing w:after="0" w:line="276" w:lineRule="auto"/>
      </w:pPr>
      <w:proofErr w:type="spellStart"/>
      <w:r>
        <w:rPr>
          <w:rFonts w:cs="Calibri"/>
          <w:sz w:val="24"/>
          <w:szCs w:val="24"/>
          <w:lang w:val="en-US"/>
        </w:rPr>
        <w:t>Damianidis</w:t>
      </w:r>
      <w:proofErr w:type="spellEnd"/>
      <w:r>
        <w:rPr>
          <w:rFonts w:cs="Calibri"/>
          <w:sz w:val="24"/>
          <w:szCs w:val="24"/>
          <w:lang w:val="en-US"/>
        </w:rPr>
        <w:t xml:space="preserve">, K. A. (1998). </w:t>
      </w:r>
      <w:r>
        <w:rPr>
          <w:rFonts w:cs="Calibri"/>
          <w:i/>
          <w:sz w:val="24"/>
          <w:szCs w:val="24"/>
        </w:rPr>
        <w:t>Ελληνική</w:t>
      </w:r>
      <w:r>
        <w:rPr>
          <w:rFonts w:cs="Calibri"/>
          <w:i/>
          <w:sz w:val="24"/>
          <w:szCs w:val="24"/>
          <w:lang w:val="en-US"/>
        </w:rPr>
        <w:t xml:space="preserve"> </w:t>
      </w:r>
      <w:r>
        <w:rPr>
          <w:rFonts w:cs="Calibri"/>
          <w:i/>
          <w:sz w:val="24"/>
          <w:szCs w:val="24"/>
        </w:rPr>
        <w:t>Παραδοσιακή</w:t>
      </w:r>
      <w:r>
        <w:rPr>
          <w:rFonts w:cs="Calibri"/>
          <w:i/>
          <w:sz w:val="24"/>
          <w:szCs w:val="24"/>
          <w:lang w:val="en-US"/>
        </w:rPr>
        <w:t xml:space="preserve"> </w:t>
      </w:r>
      <w:r>
        <w:rPr>
          <w:rFonts w:cs="Calibri"/>
          <w:i/>
          <w:sz w:val="24"/>
          <w:szCs w:val="24"/>
        </w:rPr>
        <w:t>Ναυπηγική</w:t>
      </w:r>
      <w:r>
        <w:rPr>
          <w:rFonts w:cs="Calibri"/>
          <w:i/>
          <w:sz w:val="24"/>
          <w:szCs w:val="24"/>
          <w:lang w:val="en-US"/>
        </w:rPr>
        <w:t xml:space="preserve"> [</w:t>
      </w:r>
      <w:r>
        <w:rPr>
          <w:rFonts w:cs="Calibri"/>
          <w:sz w:val="24"/>
          <w:szCs w:val="24"/>
          <w:lang w:val="en-US"/>
        </w:rPr>
        <w:t xml:space="preserve">Greek </w:t>
      </w:r>
      <w:r>
        <w:rPr>
          <w:rFonts w:cs="Calibri"/>
          <w:sz w:val="24"/>
          <w:szCs w:val="24"/>
          <w:lang w:val="en-US"/>
        </w:rPr>
        <w:t>Vernacular Shipbuilding], Piraeus Bank Group Cultural Foundation (PIOP), Athens</w:t>
      </w:r>
    </w:p>
    <w:p w14:paraId="3E99574C" w14:textId="77777777" w:rsidR="000B139B" w:rsidRDefault="000B139B">
      <w:pPr>
        <w:autoSpaceDE w:val="0"/>
        <w:spacing w:after="0" w:line="276" w:lineRule="auto"/>
        <w:rPr>
          <w:rFonts w:cs="Calibri"/>
          <w:sz w:val="24"/>
          <w:szCs w:val="24"/>
          <w:lang w:val="en-US"/>
        </w:rPr>
      </w:pPr>
    </w:p>
    <w:p w14:paraId="1BB6D468" w14:textId="77777777" w:rsidR="000B139B" w:rsidRDefault="00DB4960">
      <w:pPr>
        <w:autoSpaceDE w:val="0"/>
        <w:spacing w:after="0" w:line="276" w:lineRule="auto"/>
      </w:pPr>
      <w:proofErr w:type="spellStart"/>
      <w:r>
        <w:rPr>
          <w:rFonts w:cs="Calibri"/>
          <w:sz w:val="24"/>
          <w:szCs w:val="24"/>
          <w:lang w:val="en-US"/>
        </w:rPr>
        <w:t>Damianidis</w:t>
      </w:r>
      <w:proofErr w:type="spellEnd"/>
      <w:r>
        <w:rPr>
          <w:rFonts w:cs="Calibri"/>
          <w:sz w:val="24"/>
          <w:szCs w:val="24"/>
          <w:lang w:val="en-US"/>
        </w:rPr>
        <w:t xml:space="preserve">, K. A. (ed.) </w:t>
      </w:r>
      <w:r>
        <w:rPr>
          <w:rFonts w:cs="Calibri"/>
          <w:i/>
          <w:iCs/>
          <w:sz w:val="24"/>
          <w:szCs w:val="24"/>
        </w:rPr>
        <w:t>Ναυς</w:t>
      </w:r>
      <w:r>
        <w:rPr>
          <w:rFonts w:cs="Calibri"/>
          <w:i/>
          <w:iCs/>
          <w:sz w:val="24"/>
          <w:szCs w:val="24"/>
          <w:lang w:val="en-US"/>
        </w:rPr>
        <w:t xml:space="preserve"> – </w:t>
      </w:r>
      <w:r>
        <w:rPr>
          <w:rFonts w:cs="Calibri"/>
          <w:i/>
          <w:iCs/>
          <w:sz w:val="24"/>
          <w:szCs w:val="24"/>
        </w:rPr>
        <w:t>Πλοία</w:t>
      </w:r>
      <w:r>
        <w:rPr>
          <w:rFonts w:cs="Calibri"/>
          <w:i/>
          <w:iCs/>
          <w:sz w:val="24"/>
          <w:szCs w:val="24"/>
          <w:lang w:val="en-US"/>
        </w:rPr>
        <w:t xml:space="preserve"> </w:t>
      </w:r>
      <w:r>
        <w:rPr>
          <w:rFonts w:cs="Calibri"/>
          <w:i/>
          <w:iCs/>
          <w:sz w:val="24"/>
          <w:szCs w:val="24"/>
        </w:rPr>
        <w:t>και</w:t>
      </w:r>
      <w:r>
        <w:rPr>
          <w:rFonts w:cs="Calibri"/>
          <w:i/>
          <w:iCs/>
          <w:sz w:val="24"/>
          <w:szCs w:val="24"/>
          <w:lang w:val="en-US"/>
        </w:rPr>
        <w:t xml:space="preserve"> </w:t>
      </w:r>
      <w:r>
        <w:rPr>
          <w:rFonts w:cs="Calibri"/>
          <w:i/>
          <w:iCs/>
          <w:sz w:val="24"/>
          <w:szCs w:val="24"/>
        </w:rPr>
        <w:t>Ναυπηγική</w:t>
      </w:r>
      <w:r>
        <w:rPr>
          <w:rFonts w:cs="Calibri"/>
          <w:i/>
          <w:iCs/>
          <w:sz w:val="24"/>
          <w:szCs w:val="24"/>
          <w:lang w:val="en-US"/>
        </w:rPr>
        <w:t xml:space="preserve"> </w:t>
      </w:r>
      <w:r>
        <w:rPr>
          <w:rFonts w:cs="Calibri"/>
          <w:i/>
          <w:iCs/>
          <w:sz w:val="24"/>
          <w:szCs w:val="24"/>
        </w:rPr>
        <w:t>στον</w:t>
      </w:r>
      <w:r>
        <w:rPr>
          <w:rFonts w:cs="Calibri"/>
          <w:i/>
          <w:iCs/>
          <w:sz w:val="24"/>
          <w:szCs w:val="24"/>
          <w:lang w:val="en-US"/>
        </w:rPr>
        <w:t xml:space="preserve"> </w:t>
      </w:r>
      <w:r>
        <w:rPr>
          <w:rFonts w:cs="Calibri"/>
          <w:i/>
          <w:iCs/>
          <w:sz w:val="24"/>
          <w:szCs w:val="24"/>
        </w:rPr>
        <w:t>Ελληνικό</w:t>
      </w:r>
      <w:r>
        <w:rPr>
          <w:rFonts w:cs="Calibri"/>
          <w:i/>
          <w:iCs/>
          <w:sz w:val="24"/>
          <w:szCs w:val="24"/>
          <w:lang w:val="en-US"/>
        </w:rPr>
        <w:t xml:space="preserve"> </w:t>
      </w:r>
      <w:r>
        <w:rPr>
          <w:rFonts w:cs="Calibri"/>
          <w:i/>
          <w:iCs/>
          <w:sz w:val="24"/>
          <w:szCs w:val="24"/>
        </w:rPr>
        <w:t>Κόσμο</w:t>
      </w:r>
      <w:r>
        <w:rPr>
          <w:rFonts w:cs="Calibri"/>
          <w:i/>
          <w:iCs/>
          <w:sz w:val="24"/>
          <w:szCs w:val="24"/>
          <w:lang w:val="en-US"/>
        </w:rPr>
        <w:t xml:space="preserve"> (</w:t>
      </w:r>
      <w:proofErr w:type="spellStart"/>
      <w:r>
        <w:rPr>
          <w:rFonts w:cs="Calibri"/>
          <w:i/>
          <w:iCs/>
          <w:sz w:val="24"/>
          <w:szCs w:val="24"/>
          <w:lang w:val="en-US"/>
        </w:rPr>
        <w:t>Naus</w:t>
      </w:r>
      <w:proofErr w:type="spellEnd"/>
      <w:r>
        <w:rPr>
          <w:rFonts w:cs="Calibri"/>
          <w:i/>
          <w:iCs/>
          <w:sz w:val="24"/>
          <w:szCs w:val="24"/>
          <w:lang w:val="en-US"/>
        </w:rPr>
        <w:t xml:space="preserve"> – Ships and Shipbuilding in the Greek world). </w:t>
      </w:r>
      <w:proofErr w:type="spellStart"/>
      <w:r>
        <w:rPr>
          <w:rFonts w:cs="Calibri"/>
          <w:sz w:val="24"/>
          <w:szCs w:val="24"/>
          <w:lang w:val="en-US"/>
        </w:rPr>
        <w:t>Pireus</w:t>
      </w:r>
      <w:proofErr w:type="spellEnd"/>
      <w:r>
        <w:rPr>
          <w:rFonts w:cs="Calibri"/>
          <w:sz w:val="24"/>
          <w:szCs w:val="24"/>
          <w:lang w:val="en-US"/>
        </w:rPr>
        <w:t xml:space="preserve"> Bank, Polaris</w:t>
      </w:r>
    </w:p>
    <w:p w14:paraId="4FFF4C6F" w14:textId="77777777" w:rsidR="000B139B" w:rsidRDefault="00DB4960">
      <w:pPr>
        <w:spacing w:before="240" w:line="276" w:lineRule="auto"/>
        <w:jc w:val="both"/>
      </w:pPr>
      <w:bookmarkStart w:id="16" w:name="_Hlk62812488"/>
      <w:proofErr w:type="spellStart"/>
      <w:r>
        <w:rPr>
          <w:rFonts w:cs="Calibri"/>
          <w:sz w:val="24"/>
          <w:szCs w:val="24"/>
          <w:lang w:val="en-US"/>
        </w:rPr>
        <w:t>Damianidis</w:t>
      </w:r>
      <w:proofErr w:type="spellEnd"/>
      <w:r>
        <w:rPr>
          <w:rFonts w:cs="Calibri"/>
          <w:sz w:val="24"/>
          <w:szCs w:val="24"/>
          <w:lang w:val="en-US"/>
        </w:rPr>
        <w:t xml:space="preserve">, K. A. (2014). </w:t>
      </w:r>
      <w:r>
        <w:rPr>
          <w:rFonts w:cs="Calibri"/>
          <w:sz w:val="24"/>
          <w:szCs w:val="24"/>
        </w:rPr>
        <w:t>Το</w:t>
      </w:r>
      <w:r>
        <w:rPr>
          <w:rFonts w:cs="Calibri"/>
          <w:sz w:val="24"/>
          <w:szCs w:val="24"/>
          <w:lang w:val="en-US"/>
        </w:rPr>
        <w:t xml:space="preserve"> </w:t>
      </w:r>
      <w:r>
        <w:rPr>
          <w:rFonts w:cs="Calibri"/>
          <w:sz w:val="24"/>
          <w:szCs w:val="24"/>
        </w:rPr>
        <w:t>μπ</w:t>
      </w:r>
      <w:r>
        <w:rPr>
          <w:rFonts w:cs="Calibri"/>
          <w:sz w:val="24"/>
          <w:szCs w:val="24"/>
        </w:rPr>
        <w:t>ρίκι</w:t>
      </w:r>
      <w:r>
        <w:rPr>
          <w:rFonts w:cs="Calibri"/>
          <w:sz w:val="24"/>
          <w:szCs w:val="24"/>
          <w:lang w:val="en-US"/>
        </w:rPr>
        <w:t xml:space="preserve">, </w:t>
      </w:r>
      <w:r>
        <w:rPr>
          <w:rFonts w:cs="Calibri"/>
          <w:sz w:val="24"/>
          <w:szCs w:val="24"/>
        </w:rPr>
        <w:t>ένας</w:t>
      </w:r>
      <w:r>
        <w:rPr>
          <w:rFonts w:cs="Calibri"/>
          <w:sz w:val="24"/>
          <w:szCs w:val="24"/>
          <w:lang w:val="en-US"/>
        </w:rPr>
        <w:t xml:space="preserve"> </w:t>
      </w:r>
      <w:r>
        <w:rPr>
          <w:rFonts w:cs="Calibri"/>
          <w:sz w:val="24"/>
          <w:szCs w:val="24"/>
        </w:rPr>
        <w:t>τύπος</w:t>
      </w:r>
      <w:r>
        <w:rPr>
          <w:rFonts w:cs="Calibri"/>
          <w:sz w:val="24"/>
          <w:szCs w:val="24"/>
          <w:lang w:val="en-US"/>
        </w:rPr>
        <w:t xml:space="preserve"> </w:t>
      </w:r>
      <w:r>
        <w:rPr>
          <w:rFonts w:cs="Calibri"/>
          <w:sz w:val="24"/>
          <w:szCs w:val="24"/>
        </w:rPr>
        <w:t>ιστιοφόρου</w:t>
      </w:r>
      <w:r>
        <w:rPr>
          <w:rFonts w:cs="Calibri"/>
          <w:sz w:val="24"/>
          <w:szCs w:val="24"/>
          <w:lang w:val="en-US"/>
        </w:rPr>
        <w:t xml:space="preserve"> </w:t>
      </w:r>
      <w:r>
        <w:rPr>
          <w:rFonts w:cs="Calibri"/>
          <w:sz w:val="24"/>
          <w:szCs w:val="24"/>
        </w:rPr>
        <w:t>της</w:t>
      </w:r>
      <w:r>
        <w:rPr>
          <w:rFonts w:cs="Calibri"/>
          <w:sz w:val="24"/>
          <w:szCs w:val="24"/>
          <w:lang w:val="en-US"/>
        </w:rPr>
        <w:t xml:space="preserve"> </w:t>
      </w:r>
      <w:r>
        <w:rPr>
          <w:rFonts w:cs="Calibri"/>
          <w:sz w:val="24"/>
          <w:szCs w:val="24"/>
        </w:rPr>
        <w:t>ελληνικής</w:t>
      </w:r>
      <w:r>
        <w:rPr>
          <w:rFonts w:cs="Calibri"/>
          <w:sz w:val="24"/>
          <w:szCs w:val="24"/>
          <w:lang w:val="en-US"/>
        </w:rPr>
        <w:t xml:space="preserve"> </w:t>
      </w:r>
      <w:r>
        <w:rPr>
          <w:rFonts w:cs="Calibri"/>
          <w:sz w:val="24"/>
          <w:szCs w:val="24"/>
        </w:rPr>
        <w:t>ναυτιλίας</w:t>
      </w:r>
      <w:r>
        <w:rPr>
          <w:rFonts w:cs="Calibri"/>
          <w:sz w:val="24"/>
          <w:szCs w:val="24"/>
          <w:lang w:val="en-US"/>
        </w:rPr>
        <w:t xml:space="preserve"> [The brig, a sailboat type of the Greek merchantmen], in </w:t>
      </w:r>
      <w:proofErr w:type="spellStart"/>
      <w:r>
        <w:rPr>
          <w:rFonts w:cs="Calibri"/>
          <w:sz w:val="24"/>
          <w:szCs w:val="24"/>
          <w:lang w:val="en-US"/>
        </w:rPr>
        <w:t>Damianidis</w:t>
      </w:r>
      <w:proofErr w:type="spellEnd"/>
      <w:r>
        <w:rPr>
          <w:rFonts w:cs="Calibri"/>
          <w:sz w:val="24"/>
          <w:szCs w:val="24"/>
          <w:lang w:val="en-US"/>
        </w:rPr>
        <w:t xml:space="preserve"> 2014,  pp. 320-330, Piraeus Bank, Athens.</w:t>
      </w:r>
    </w:p>
    <w:bookmarkEnd w:id="16"/>
    <w:p w14:paraId="10241013" w14:textId="77777777" w:rsidR="000B139B" w:rsidRDefault="00DB4960">
      <w:pPr>
        <w:spacing w:before="240" w:line="276" w:lineRule="auto"/>
        <w:jc w:val="both"/>
      </w:pPr>
      <w:r>
        <w:rPr>
          <w:rFonts w:cs="Calibri"/>
          <w:sz w:val="24"/>
          <w:szCs w:val="24"/>
          <w:lang w:val="en-US"/>
        </w:rPr>
        <w:t xml:space="preserve">Delis, A. (2010). </w:t>
      </w:r>
      <w:r>
        <w:rPr>
          <w:rFonts w:cs="Calibri"/>
          <w:i/>
          <w:sz w:val="24"/>
          <w:szCs w:val="24"/>
        </w:rPr>
        <w:t>Ερμούπολη</w:t>
      </w:r>
      <w:r>
        <w:rPr>
          <w:rFonts w:cs="Calibri"/>
          <w:i/>
          <w:sz w:val="24"/>
          <w:szCs w:val="24"/>
          <w:lang w:val="en-US"/>
        </w:rPr>
        <w:t xml:space="preserve"> (</w:t>
      </w:r>
      <w:r>
        <w:rPr>
          <w:rFonts w:cs="Calibri"/>
          <w:i/>
          <w:sz w:val="24"/>
          <w:szCs w:val="24"/>
        </w:rPr>
        <w:t>Σύρος</w:t>
      </w:r>
      <w:r>
        <w:rPr>
          <w:rFonts w:cs="Calibri"/>
          <w:i/>
          <w:sz w:val="24"/>
          <w:szCs w:val="24"/>
          <w:lang w:val="en-US"/>
        </w:rPr>
        <w:t xml:space="preserve">): </w:t>
      </w:r>
      <w:r>
        <w:rPr>
          <w:rFonts w:cs="Calibri"/>
          <w:i/>
          <w:sz w:val="24"/>
          <w:szCs w:val="24"/>
        </w:rPr>
        <w:t>το</w:t>
      </w:r>
      <w:r>
        <w:rPr>
          <w:rFonts w:cs="Calibri"/>
          <w:i/>
          <w:sz w:val="24"/>
          <w:szCs w:val="24"/>
          <w:lang w:val="en-US"/>
        </w:rPr>
        <w:t xml:space="preserve"> </w:t>
      </w:r>
      <w:proofErr w:type="spellStart"/>
      <w:r>
        <w:rPr>
          <w:rFonts w:cs="Calibri"/>
          <w:i/>
          <w:sz w:val="24"/>
          <w:szCs w:val="24"/>
        </w:rPr>
        <w:t>ναυπηγικό</w:t>
      </w:r>
      <w:proofErr w:type="spellEnd"/>
      <w:r>
        <w:rPr>
          <w:rFonts w:cs="Calibri"/>
          <w:i/>
          <w:sz w:val="24"/>
          <w:szCs w:val="24"/>
          <w:lang w:val="en-US"/>
        </w:rPr>
        <w:t xml:space="preserve"> </w:t>
      </w:r>
      <w:r>
        <w:rPr>
          <w:rFonts w:cs="Calibri"/>
          <w:i/>
          <w:sz w:val="24"/>
          <w:szCs w:val="24"/>
        </w:rPr>
        <w:t>κέντρο</w:t>
      </w:r>
      <w:r>
        <w:rPr>
          <w:rFonts w:cs="Calibri"/>
          <w:i/>
          <w:sz w:val="24"/>
          <w:szCs w:val="24"/>
          <w:lang w:val="en-US"/>
        </w:rPr>
        <w:t xml:space="preserve"> </w:t>
      </w:r>
      <w:r>
        <w:rPr>
          <w:rFonts w:cs="Calibri"/>
          <w:i/>
          <w:sz w:val="24"/>
          <w:szCs w:val="24"/>
        </w:rPr>
        <w:t>της</w:t>
      </w:r>
      <w:r>
        <w:rPr>
          <w:rFonts w:cs="Calibri"/>
          <w:i/>
          <w:sz w:val="24"/>
          <w:szCs w:val="24"/>
          <w:lang w:val="en-US"/>
        </w:rPr>
        <w:t xml:space="preserve"> </w:t>
      </w:r>
      <w:r>
        <w:rPr>
          <w:rFonts w:cs="Calibri"/>
          <w:i/>
          <w:sz w:val="24"/>
          <w:szCs w:val="24"/>
        </w:rPr>
        <w:t>ιστιοφόρου</w:t>
      </w:r>
      <w:r>
        <w:rPr>
          <w:rFonts w:cs="Calibri"/>
          <w:i/>
          <w:sz w:val="24"/>
          <w:szCs w:val="24"/>
          <w:lang w:val="en-US"/>
        </w:rPr>
        <w:t xml:space="preserve"> </w:t>
      </w:r>
      <w:r>
        <w:rPr>
          <w:rFonts w:cs="Calibri"/>
          <w:i/>
          <w:sz w:val="24"/>
          <w:szCs w:val="24"/>
        </w:rPr>
        <w:t>ναυτιλίας</w:t>
      </w:r>
      <w:r>
        <w:rPr>
          <w:rFonts w:cs="Calibri"/>
          <w:i/>
          <w:sz w:val="24"/>
          <w:szCs w:val="24"/>
          <w:lang w:val="en-US"/>
        </w:rPr>
        <w:t xml:space="preserve">, </w:t>
      </w:r>
      <w:r>
        <w:rPr>
          <w:rFonts w:cs="Calibri"/>
          <w:i/>
          <w:sz w:val="24"/>
          <w:szCs w:val="24"/>
          <w:lang w:val="en-US"/>
        </w:rPr>
        <w:t>1830-1880</w:t>
      </w:r>
      <w:r>
        <w:rPr>
          <w:rFonts w:cs="Calibri"/>
          <w:sz w:val="24"/>
          <w:szCs w:val="24"/>
          <w:lang w:val="en-US"/>
        </w:rPr>
        <w:t>, [</w:t>
      </w:r>
      <w:proofErr w:type="spellStart"/>
      <w:r>
        <w:rPr>
          <w:rFonts w:cs="Calibri"/>
          <w:sz w:val="24"/>
          <w:szCs w:val="24"/>
          <w:lang w:val="en-US"/>
        </w:rPr>
        <w:t>Hermoupolis</w:t>
      </w:r>
      <w:proofErr w:type="spellEnd"/>
      <w:r>
        <w:rPr>
          <w:rFonts w:cs="Calibri"/>
          <w:sz w:val="24"/>
          <w:szCs w:val="24"/>
          <w:lang w:val="en-US"/>
        </w:rPr>
        <w:t xml:space="preserve"> (Island of Syros): the Shipbuilding Centre of the Sailing Merchant Marine, 1830-1880], unpublished PhD dissertation, Ionian University, Corfu.</w:t>
      </w:r>
    </w:p>
    <w:p w14:paraId="528962E5" w14:textId="77777777" w:rsidR="000B139B" w:rsidRDefault="00DB4960">
      <w:pPr>
        <w:spacing w:before="240" w:line="276" w:lineRule="auto"/>
        <w:jc w:val="both"/>
      </w:pPr>
      <w:r>
        <w:rPr>
          <w:rFonts w:cs="Calibri"/>
          <w:sz w:val="24"/>
          <w:szCs w:val="24"/>
          <w:lang w:val="en-US"/>
        </w:rPr>
        <w:t>Delis, A. (2014a). From Lateen to Square Rig: The evolution of the Greek-owned merchant f</w:t>
      </w:r>
      <w:r>
        <w:rPr>
          <w:rFonts w:cs="Calibri"/>
          <w:sz w:val="24"/>
          <w:szCs w:val="24"/>
          <w:lang w:val="en-US"/>
        </w:rPr>
        <w:t xml:space="preserve">leet and its ships in the eighteenth and nineteenth centuries, </w:t>
      </w:r>
      <w:r>
        <w:rPr>
          <w:rFonts w:cs="Calibri"/>
          <w:i/>
          <w:iCs/>
          <w:sz w:val="24"/>
          <w:szCs w:val="24"/>
          <w:lang w:val="en-US"/>
        </w:rPr>
        <w:t>The Mariner's Mirror</w:t>
      </w:r>
      <w:r>
        <w:rPr>
          <w:rFonts w:cs="Calibri"/>
          <w:sz w:val="24"/>
          <w:szCs w:val="24"/>
          <w:lang w:val="en-US"/>
        </w:rPr>
        <w:t>, 100(1), pp. 44-58.</w:t>
      </w:r>
    </w:p>
    <w:p w14:paraId="7BA3DBA8" w14:textId="77777777" w:rsidR="000B139B" w:rsidRDefault="00DB4960">
      <w:pPr>
        <w:spacing w:before="240" w:line="276" w:lineRule="auto"/>
      </w:pPr>
      <w:proofErr w:type="spellStart"/>
      <w:r>
        <w:rPr>
          <w:rFonts w:cs="Calibri"/>
          <w:sz w:val="24"/>
          <w:szCs w:val="24"/>
          <w:lang w:val="en-US"/>
        </w:rPr>
        <w:t>Harlaftiss</w:t>
      </w:r>
      <w:proofErr w:type="spellEnd"/>
      <w:r>
        <w:rPr>
          <w:rFonts w:cs="Calibri"/>
          <w:sz w:val="24"/>
          <w:szCs w:val="24"/>
          <w:lang w:val="en-US"/>
        </w:rPr>
        <w:t>, G. (2001).</w:t>
      </w:r>
      <w:r>
        <w:rPr>
          <w:rFonts w:cs="Calibri"/>
          <w:i/>
          <w:iCs/>
          <w:sz w:val="24"/>
          <w:szCs w:val="24"/>
          <w:lang w:val="en-US"/>
        </w:rPr>
        <w:t xml:space="preserve"> </w:t>
      </w:r>
      <w:r>
        <w:rPr>
          <w:rFonts w:cs="Calibri"/>
          <w:i/>
          <w:iCs/>
          <w:sz w:val="24"/>
          <w:szCs w:val="24"/>
        </w:rPr>
        <w:t>Η</w:t>
      </w:r>
      <w:r>
        <w:rPr>
          <w:rFonts w:cs="Calibri"/>
          <w:i/>
          <w:iCs/>
          <w:sz w:val="24"/>
          <w:szCs w:val="24"/>
          <w:lang w:val="en-US"/>
        </w:rPr>
        <w:t xml:space="preserve"> </w:t>
      </w:r>
      <w:r>
        <w:rPr>
          <w:rFonts w:cs="Calibri"/>
          <w:i/>
          <w:iCs/>
          <w:sz w:val="24"/>
          <w:szCs w:val="24"/>
        </w:rPr>
        <w:t>Ιστορία</w:t>
      </w:r>
      <w:r>
        <w:rPr>
          <w:rFonts w:cs="Calibri"/>
          <w:i/>
          <w:iCs/>
          <w:sz w:val="24"/>
          <w:szCs w:val="24"/>
          <w:lang w:val="en-US"/>
        </w:rPr>
        <w:t xml:space="preserve"> </w:t>
      </w:r>
      <w:r>
        <w:rPr>
          <w:rFonts w:cs="Calibri"/>
          <w:i/>
          <w:iCs/>
          <w:sz w:val="24"/>
          <w:szCs w:val="24"/>
        </w:rPr>
        <w:t>της</w:t>
      </w:r>
      <w:r>
        <w:rPr>
          <w:rFonts w:cs="Calibri"/>
          <w:i/>
          <w:iCs/>
          <w:sz w:val="24"/>
          <w:szCs w:val="24"/>
          <w:lang w:val="en-US"/>
        </w:rPr>
        <w:t xml:space="preserve"> </w:t>
      </w:r>
      <w:proofErr w:type="spellStart"/>
      <w:r>
        <w:rPr>
          <w:rFonts w:cs="Calibri"/>
          <w:i/>
          <w:iCs/>
          <w:sz w:val="24"/>
          <w:szCs w:val="24"/>
        </w:rPr>
        <w:t>Ελληνόκτητης</w:t>
      </w:r>
      <w:proofErr w:type="spellEnd"/>
      <w:r>
        <w:rPr>
          <w:rFonts w:cs="Calibri"/>
          <w:i/>
          <w:iCs/>
          <w:sz w:val="24"/>
          <w:szCs w:val="24"/>
          <w:lang w:val="en-US"/>
        </w:rPr>
        <w:t xml:space="preserve"> </w:t>
      </w:r>
      <w:r>
        <w:rPr>
          <w:rFonts w:cs="Calibri"/>
          <w:i/>
          <w:iCs/>
          <w:sz w:val="24"/>
          <w:szCs w:val="24"/>
        </w:rPr>
        <w:t>Ναυτιλίας</w:t>
      </w:r>
      <w:r>
        <w:rPr>
          <w:rFonts w:cs="Calibri"/>
          <w:i/>
          <w:iCs/>
          <w:sz w:val="24"/>
          <w:szCs w:val="24"/>
          <w:lang w:val="en-US"/>
        </w:rPr>
        <w:t>: 19</w:t>
      </w:r>
      <w:proofErr w:type="spellStart"/>
      <w:r>
        <w:rPr>
          <w:rFonts w:cs="Calibri"/>
          <w:i/>
          <w:iCs/>
          <w:sz w:val="24"/>
          <w:szCs w:val="24"/>
          <w:vertAlign w:val="superscript"/>
        </w:rPr>
        <w:t>ος</w:t>
      </w:r>
      <w:proofErr w:type="spellEnd"/>
      <w:r>
        <w:rPr>
          <w:rFonts w:cs="Calibri"/>
          <w:i/>
          <w:iCs/>
          <w:sz w:val="24"/>
          <w:szCs w:val="24"/>
          <w:lang w:val="en-US"/>
        </w:rPr>
        <w:t xml:space="preserve"> -20</w:t>
      </w:r>
      <w:proofErr w:type="spellStart"/>
      <w:r>
        <w:rPr>
          <w:rFonts w:cs="Calibri"/>
          <w:i/>
          <w:iCs/>
          <w:sz w:val="24"/>
          <w:szCs w:val="24"/>
          <w:vertAlign w:val="superscript"/>
        </w:rPr>
        <w:t>ος</w:t>
      </w:r>
      <w:proofErr w:type="spellEnd"/>
      <w:r>
        <w:rPr>
          <w:rFonts w:cs="Calibri"/>
          <w:i/>
          <w:iCs/>
          <w:sz w:val="24"/>
          <w:szCs w:val="24"/>
          <w:lang w:val="en-US"/>
        </w:rPr>
        <w:t xml:space="preserve"> </w:t>
      </w:r>
      <w:r>
        <w:rPr>
          <w:rFonts w:cs="Calibri"/>
          <w:i/>
          <w:iCs/>
          <w:sz w:val="24"/>
          <w:szCs w:val="24"/>
        </w:rPr>
        <w:t>αιώνας</w:t>
      </w:r>
      <w:r>
        <w:rPr>
          <w:rFonts w:cs="Calibri"/>
          <w:sz w:val="24"/>
          <w:szCs w:val="24"/>
          <w:lang w:val="en-US"/>
        </w:rPr>
        <w:t xml:space="preserve"> (A History of Greek-Owned Shipping: 19</w:t>
      </w:r>
      <w:r>
        <w:rPr>
          <w:rFonts w:cs="Calibri"/>
          <w:sz w:val="24"/>
          <w:szCs w:val="24"/>
          <w:vertAlign w:val="superscript"/>
          <w:lang w:val="en-US"/>
        </w:rPr>
        <w:t>th</w:t>
      </w:r>
      <w:r>
        <w:rPr>
          <w:rFonts w:cs="Calibri"/>
          <w:sz w:val="24"/>
          <w:szCs w:val="24"/>
          <w:lang w:val="en-US"/>
        </w:rPr>
        <w:t>-20</w:t>
      </w:r>
      <w:r>
        <w:rPr>
          <w:rFonts w:cs="Calibri"/>
          <w:sz w:val="24"/>
          <w:szCs w:val="24"/>
          <w:vertAlign w:val="superscript"/>
          <w:lang w:val="en-US"/>
        </w:rPr>
        <w:t>th</w:t>
      </w:r>
      <w:r>
        <w:rPr>
          <w:rFonts w:cs="Calibri"/>
          <w:sz w:val="24"/>
          <w:szCs w:val="24"/>
          <w:lang w:val="en-US"/>
        </w:rPr>
        <w:t xml:space="preserve"> century). </w:t>
      </w:r>
      <w:proofErr w:type="spellStart"/>
      <w:r>
        <w:rPr>
          <w:rFonts w:cs="Calibri"/>
          <w:sz w:val="24"/>
          <w:szCs w:val="24"/>
          <w:lang w:val="en-US"/>
        </w:rPr>
        <w:t>Nefeli</w:t>
      </w:r>
      <w:proofErr w:type="spellEnd"/>
      <w:r>
        <w:rPr>
          <w:rFonts w:cs="Calibri"/>
          <w:sz w:val="24"/>
          <w:szCs w:val="24"/>
          <w:lang w:val="en-US"/>
        </w:rPr>
        <w:t xml:space="preserve">, Athens. </w:t>
      </w:r>
    </w:p>
    <w:p w14:paraId="582EAE85" w14:textId="77777777" w:rsidR="000B139B" w:rsidRDefault="00DB4960">
      <w:pPr>
        <w:spacing w:before="240" w:line="276" w:lineRule="auto"/>
        <w:jc w:val="both"/>
      </w:pPr>
      <w:r>
        <w:rPr>
          <w:rFonts w:cs="Calibri"/>
          <w:sz w:val="24"/>
          <w:szCs w:val="24"/>
          <w:lang w:val="en-US"/>
        </w:rPr>
        <w:t xml:space="preserve">Konstantinidis, T. (1954). </w:t>
      </w:r>
      <w:r>
        <w:rPr>
          <w:rFonts w:cs="Calibri"/>
          <w:i/>
          <w:iCs/>
          <w:sz w:val="24"/>
          <w:szCs w:val="24"/>
        </w:rPr>
        <w:t>Καράβια</w:t>
      </w:r>
      <w:r>
        <w:rPr>
          <w:rFonts w:cs="Calibri"/>
          <w:i/>
          <w:iCs/>
          <w:sz w:val="24"/>
          <w:szCs w:val="24"/>
          <w:lang w:val="en-US"/>
        </w:rPr>
        <w:t xml:space="preserve">, </w:t>
      </w:r>
      <w:r>
        <w:rPr>
          <w:rFonts w:cs="Calibri"/>
          <w:i/>
          <w:iCs/>
          <w:sz w:val="24"/>
          <w:szCs w:val="24"/>
        </w:rPr>
        <w:t>Καπετάνιοι</w:t>
      </w:r>
      <w:r>
        <w:rPr>
          <w:rFonts w:cs="Calibri"/>
          <w:i/>
          <w:iCs/>
          <w:sz w:val="24"/>
          <w:szCs w:val="24"/>
          <w:lang w:val="en-US"/>
        </w:rPr>
        <w:t xml:space="preserve"> </w:t>
      </w:r>
      <w:r>
        <w:rPr>
          <w:rFonts w:cs="Calibri"/>
          <w:i/>
          <w:iCs/>
          <w:sz w:val="24"/>
          <w:szCs w:val="24"/>
        </w:rPr>
        <w:t>και</w:t>
      </w:r>
      <w:r>
        <w:rPr>
          <w:rFonts w:cs="Calibri"/>
          <w:i/>
          <w:iCs/>
          <w:sz w:val="24"/>
          <w:szCs w:val="24"/>
          <w:lang w:val="en-US"/>
        </w:rPr>
        <w:t xml:space="preserve"> </w:t>
      </w:r>
      <w:proofErr w:type="spellStart"/>
      <w:r>
        <w:rPr>
          <w:rFonts w:cs="Calibri"/>
          <w:i/>
          <w:iCs/>
          <w:sz w:val="24"/>
          <w:szCs w:val="24"/>
        </w:rPr>
        <w:t>Συντοφοναύται</w:t>
      </w:r>
      <w:proofErr w:type="spellEnd"/>
      <w:r>
        <w:rPr>
          <w:rFonts w:cs="Calibri"/>
          <w:i/>
          <w:iCs/>
          <w:sz w:val="24"/>
          <w:szCs w:val="24"/>
          <w:lang w:val="en-US"/>
        </w:rPr>
        <w:t xml:space="preserve"> 1800 - 1830</w:t>
      </w:r>
      <w:r>
        <w:rPr>
          <w:rFonts w:cs="Calibri"/>
          <w:sz w:val="24"/>
          <w:szCs w:val="24"/>
          <w:lang w:val="en-US"/>
        </w:rPr>
        <w:t xml:space="preserve"> (Ships, Captains and the Crew, 1800 - 1830), Athens.</w:t>
      </w:r>
    </w:p>
    <w:p w14:paraId="11EA1323" w14:textId="77777777" w:rsidR="000B139B" w:rsidRDefault="00DB4960">
      <w:pPr>
        <w:spacing w:before="240" w:line="276" w:lineRule="auto"/>
        <w:jc w:val="both"/>
      </w:pPr>
      <w:r>
        <w:rPr>
          <w:rFonts w:cs="Calibri"/>
          <w:sz w:val="24"/>
          <w:szCs w:val="24"/>
          <w:lang w:val="en-US"/>
        </w:rPr>
        <w:t xml:space="preserve">MacGregor, D. R. (1988). </w:t>
      </w:r>
      <w:r>
        <w:rPr>
          <w:rFonts w:cs="Calibri"/>
          <w:i/>
          <w:iCs/>
          <w:sz w:val="24"/>
          <w:szCs w:val="24"/>
          <w:lang w:val="en-US"/>
        </w:rPr>
        <w:t>Fast Sailing Ships: Their Design and Construction, 1775–1875</w:t>
      </w:r>
      <w:r>
        <w:rPr>
          <w:rFonts w:cs="Calibri"/>
          <w:sz w:val="24"/>
          <w:szCs w:val="24"/>
          <w:lang w:val="en-US"/>
        </w:rPr>
        <w:t>, Annapolis.</w:t>
      </w:r>
    </w:p>
    <w:p w14:paraId="5BECF1FE" w14:textId="77777777" w:rsidR="000B139B" w:rsidRDefault="00DB4960">
      <w:pPr>
        <w:spacing w:before="240" w:line="276" w:lineRule="auto"/>
        <w:jc w:val="both"/>
      </w:pPr>
      <w:r>
        <w:rPr>
          <w:rFonts w:cs="Calibri"/>
          <w:sz w:val="24"/>
          <w:szCs w:val="24"/>
          <w:lang w:val="en-US"/>
        </w:rPr>
        <w:t xml:space="preserve">Nikolaou, G. (2014). </w:t>
      </w:r>
      <w:r>
        <w:rPr>
          <w:rFonts w:cs="Calibri"/>
          <w:i/>
          <w:iCs/>
          <w:sz w:val="24"/>
          <w:szCs w:val="24"/>
        </w:rPr>
        <w:t>Τα</w:t>
      </w:r>
      <w:r>
        <w:rPr>
          <w:rFonts w:cs="Calibri"/>
          <w:i/>
          <w:iCs/>
          <w:sz w:val="24"/>
          <w:szCs w:val="24"/>
          <w:lang w:val="en-US"/>
        </w:rPr>
        <w:t xml:space="preserve"> </w:t>
      </w:r>
      <w:r>
        <w:rPr>
          <w:rFonts w:cs="Calibri"/>
          <w:i/>
          <w:iCs/>
          <w:sz w:val="24"/>
          <w:szCs w:val="24"/>
        </w:rPr>
        <w:t>ομοιώματα</w:t>
      </w:r>
      <w:r>
        <w:rPr>
          <w:rFonts w:cs="Calibri"/>
          <w:i/>
          <w:iCs/>
          <w:sz w:val="24"/>
          <w:szCs w:val="24"/>
          <w:lang w:val="en-US"/>
        </w:rPr>
        <w:t xml:space="preserve"> </w:t>
      </w:r>
      <w:r>
        <w:rPr>
          <w:rFonts w:cs="Calibri"/>
          <w:i/>
          <w:iCs/>
          <w:sz w:val="24"/>
          <w:szCs w:val="24"/>
        </w:rPr>
        <w:t>πλοίων</w:t>
      </w:r>
      <w:r>
        <w:rPr>
          <w:rFonts w:cs="Calibri"/>
          <w:i/>
          <w:iCs/>
          <w:sz w:val="24"/>
          <w:szCs w:val="24"/>
          <w:lang w:val="en-US"/>
        </w:rPr>
        <w:t xml:space="preserve"> </w:t>
      </w:r>
      <w:r>
        <w:rPr>
          <w:rFonts w:cs="Calibri"/>
          <w:i/>
          <w:iCs/>
          <w:sz w:val="24"/>
          <w:szCs w:val="24"/>
        </w:rPr>
        <w:t>της</w:t>
      </w:r>
      <w:r>
        <w:rPr>
          <w:rFonts w:cs="Calibri"/>
          <w:i/>
          <w:iCs/>
          <w:sz w:val="24"/>
          <w:szCs w:val="24"/>
          <w:lang w:val="en-US"/>
        </w:rPr>
        <w:t xml:space="preserve"> </w:t>
      </w:r>
      <w:r>
        <w:rPr>
          <w:rFonts w:cs="Calibri"/>
          <w:i/>
          <w:iCs/>
          <w:sz w:val="24"/>
          <w:szCs w:val="24"/>
        </w:rPr>
        <w:t>Επανάστασης</w:t>
      </w:r>
      <w:r>
        <w:rPr>
          <w:rFonts w:cs="Calibri"/>
          <w:i/>
          <w:iCs/>
          <w:sz w:val="24"/>
          <w:szCs w:val="24"/>
          <w:lang w:val="en-US"/>
        </w:rPr>
        <w:t xml:space="preserve"> </w:t>
      </w:r>
      <w:r>
        <w:rPr>
          <w:rFonts w:cs="Calibri"/>
          <w:i/>
          <w:iCs/>
          <w:sz w:val="24"/>
          <w:szCs w:val="24"/>
        </w:rPr>
        <w:t>του</w:t>
      </w:r>
      <w:r>
        <w:rPr>
          <w:rFonts w:cs="Calibri"/>
          <w:i/>
          <w:iCs/>
          <w:sz w:val="24"/>
          <w:szCs w:val="24"/>
          <w:lang w:val="en-US"/>
        </w:rPr>
        <w:t xml:space="preserve"> </w:t>
      </w:r>
      <w:r>
        <w:rPr>
          <w:rFonts w:cs="Calibri"/>
          <w:i/>
          <w:iCs/>
          <w:sz w:val="24"/>
          <w:szCs w:val="24"/>
        </w:rPr>
        <w:t>΄</w:t>
      </w:r>
      <w:r>
        <w:rPr>
          <w:rFonts w:cs="Calibri"/>
          <w:i/>
          <w:iCs/>
          <w:sz w:val="24"/>
          <w:szCs w:val="24"/>
          <w:lang w:val="en-US"/>
        </w:rPr>
        <w:t xml:space="preserve">21 </w:t>
      </w:r>
      <w:r>
        <w:rPr>
          <w:rFonts w:cs="Calibri"/>
          <w:i/>
          <w:iCs/>
          <w:sz w:val="24"/>
          <w:szCs w:val="24"/>
        </w:rPr>
        <w:t>από</w:t>
      </w:r>
      <w:r>
        <w:rPr>
          <w:rFonts w:cs="Calibri"/>
          <w:i/>
          <w:iCs/>
          <w:sz w:val="24"/>
          <w:szCs w:val="24"/>
          <w:lang w:val="en-US"/>
        </w:rPr>
        <w:t xml:space="preserve"> </w:t>
      </w:r>
      <w:r>
        <w:rPr>
          <w:rFonts w:cs="Calibri"/>
          <w:i/>
          <w:iCs/>
          <w:sz w:val="24"/>
          <w:szCs w:val="24"/>
        </w:rPr>
        <w:t>τη</w:t>
      </w:r>
      <w:r>
        <w:rPr>
          <w:rFonts w:cs="Calibri"/>
          <w:i/>
          <w:iCs/>
          <w:sz w:val="24"/>
          <w:szCs w:val="24"/>
          <w:lang w:val="en-US"/>
        </w:rPr>
        <w:t xml:space="preserve"> </w:t>
      </w:r>
      <w:r>
        <w:rPr>
          <w:rFonts w:cs="Calibri"/>
          <w:i/>
          <w:iCs/>
          <w:sz w:val="24"/>
          <w:szCs w:val="24"/>
        </w:rPr>
        <w:t>Συλλογή</w:t>
      </w:r>
      <w:r>
        <w:rPr>
          <w:rFonts w:cs="Calibri"/>
          <w:i/>
          <w:iCs/>
          <w:sz w:val="24"/>
          <w:szCs w:val="24"/>
          <w:lang w:val="en-US"/>
        </w:rPr>
        <w:t xml:space="preserve"> </w:t>
      </w:r>
      <w:r>
        <w:rPr>
          <w:rFonts w:cs="Calibri"/>
          <w:i/>
          <w:iCs/>
          <w:sz w:val="24"/>
          <w:szCs w:val="24"/>
        </w:rPr>
        <w:t>του</w:t>
      </w:r>
      <w:r>
        <w:rPr>
          <w:rFonts w:cs="Calibri"/>
          <w:i/>
          <w:iCs/>
          <w:sz w:val="24"/>
          <w:szCs w:val="24"/>
          <w:lang w:val="en-US"/>
        </w:rPr>
        <w:t xml:space="preserve"> </w:t>
      </w:r>
      <w:r>
        <w:rPr>
          <w:rFonts w:cs="Calibri"/>
          <w:i/>
          <w:iCs/>
          <w:sz w:val="24"/>
          <w:szCs w:val="24"/>
        </w:rPr>
        <w:t>Εθνικού</w:t>
      </w:r>
      <w:r>
        <w:rPr>
          <w:rFonts w:cs="Calibri"/>
          <w:i/>
          <w:iCs/>
          <w:sz w:val="24"/>
          <w:szCs w:val="24"/>
          <w:lang w:val="en-US"/>
        </w:rPr>
        <w:t xml:space="preserve"> </w:t>
      </w:r>
      <w:r>
        <w:rPr>
          <w:rFonts w:cs="Calibri"/>
          <w:i/>
          <w:iCs/>
          <w:sz w:val="24"/>
          <w:szCs w:val="24"/>
        </w:rPr>
        <w:t>Ιστορικού</w:t>
      </w:r>
      <w:r>
        <w:rPr>
          <w:rFonts w:cs="Calibri"/>
          <w:i/>
          <w:iCs/>
          <w:sz w:val="24"/>
          <w:szCs w:val="24"/>
          <w:lang w:val="en-US"/>
        </w:rPr>
        <w:t xml:space="preserve"> </w:t>
      </w:r>
      <w:r>
        <w:rPr>
          <w:rFonts w:cs="Calibri"/>
          <w:i/>
          <w:iCs/>
          <w:sz w:val="24"/>
          <w:szCs w:val="24"/>
        </w:rPr>
        <w:t>Μουσείου</w:t>
      </w:r>
      <w:r>
        <w:rPr>
          <w:rFonts w:cs="Calibri"/>
          <w:i/>
          <w:iCs/>
          <w:sz w:val="24"/>
          <w:szCs w:val="24"/>
          <w:lang w:val="en-US"/>
        </w:rPr>
        <w:t xml:space="preserve"> </w:t>
      </w:r>
      <w:r>
        <w:rPr>
          <w:rFonts w:cs="Calibri"/>
          <w:sz w:val="24"/>
          <w:szCs w:val="24"/>
          <w:lang w:val="en-US"/>
        </w:rPr>
        <w:t xml:space="preserve">[The Greek Revolution ships’ replicas, from the Collection of the National Historical Museum], in N. </w:t>
      </w:r>
      <w:proofErr w:type="spellStart"/>
      <w:r>
        <w:rPr>
          <w:rFonts w:cs="Calibri"/>
          <w:sz w:val="24"/>
          <w:szCs w:val="24"/>
          <w:lang w:val="en-US"/>
        </w:rPr>
        <w:t>Kastriti</w:t>
      </w:r>
      <w:proofErr w:type="spellEnd"/>
      <w:r>
        <w:rPr>
          <w:rFonts w:cs="Calibri"/>
          <w:sz w:val="24"/>
          <w:szCs w:val="24"/>
          <w:lang w:val="en-US"/>
        </w:rPr>
        <w:t xml:space="preserve"> and R. </w:t>
      </w:r>
      <w:proofErr w:type="spellStart"/>
      <w:r>
        <w:rPr>
          <w:rFonts w:cs="Calibri"/>
          <w:sz w:val="24"/>
          <w:szCs w:val="24"/>
          <w:lang w:val="en-US"/>
        </w:rPr>
        <w:t>Katsimardou</w:t>
      </w:r>
      <w:proofErr w:type="spellEnd"/>
      <w:r>
        <w:rPr>
          <w:rFonts w:cs="Calibri"/>
          <w:sz w:val="24"/>
          <w:szCs w:val="24"/>
          <w:lang w:val="en-US"/>
        </w:rPr>
        <w:t xml:space="preserve"> (eds.) </w:t>
      </w:r>
      <w:r>
        <w:rPr>
          <w:rFonts w:cs="Calibri"/>
          <w:i/>
          <w:iCs/>
          <w:sz w:val="24"/>
          <w:szCs w:val="24"/>
        </w:rPr>
        <w:t>Τεκμήρια</w:t>
      </w:r>
      <w:r>
        <w:rPr>
          <w:rFonts w:cs="Calibri"/>
          <w:i/>
          <w:iCs/>
          <w:sz w:val="24"/>
          <w:szCs w:val="24"/>
          <w:lang w:val="en-US"/>
        </w:rPr>
        <w:t xml:space="preserve"> </w:t>
      </w:r>
      <w:r>
        <w:rPr>
          <w:rFonts w:cs="Calibri"/>
          <w:i/>
          <w:iCs/>
          <w:sz w:val="24"/>
          <w:szCs w:val="24"/>
        </w:rPr>
        <w:t>Ιστορίας</w:t>
      </w:r>
      <w:r>
        <w:rPr>
          <w:rFonts w:cs="Calibri"/>
          <w:i/>
          <w:iCs/>
          <w:sz w:val="24"/>
          <w:szCs w:val="24"/>
          <w:lang w:val="en-US"/>
        </w:rPr>
        <w:t xml:space="preserve"> – </w:t>
      </w:r>
      <w:proofErr w:type="spellStart"/>
      <w:r>
        <w:rPr>
          <w:rFonts w:cs="Calibri"/>
          <w:sz w:val="24"/>
          <w:szCs w:val="24"/>
          <w:lang w:val="en-US"/>
        </w:rPr>
        <w:t>Μονογρ</w:t>
      </w:r>
      <w:proofErr w:type="spellEnd"/>
      <w:r>
        <w:rPr>
          <w:rFonts w:cs="Calibri"/>
          <w:sz w:val="24"/>
          <w:szCs w:val="24"/>
          <w:lang w:val="en-US"/>
        </w:rPr>
        <w:t>α</w:t>
      </w:r>
      <w:proofErr w:type="spellStart"/>
      <w:r>
        <w:rPr>
          <w:rFonts w:cs="Calibri"/>
          <w:sz w:val="24"/>
          <w:szCs w:val="24"/>
          <w:lang w:val="en-US"/>
        </w:rPr>
        <w:t>φίες</w:t>
      </w:r>
      <w:proofErr w:type="spellEnd"/>
      <w:r>
        <w:rPr>
          <w:rFonts w:cs="Calibri"/>
          <w:sz w:val="24"/>
          <w:szCs w:val="24"/>
          <w:lang w:val="en-US"/>
        </w:rPr>
        <w:t xml:space="preserve"> [</w:t>
      </w:r>
      <w:r>
        <w:rPr>
          <w:rFonts w:cs="Calibri"/>
          <w:sz w:val="24"/>
          <w:szCs w:val="24"/>
          <w:lang w:val="en-US"/>
        </w:rPr>
        <w:t>History Evidence – Monographs], Historical and Ethnological Society of Greece, Athens, pp. 11-20.</w:t>
      </w:r>
    </w:p>
    <w:p w14:paraId="2C0C73AB" w14:textId="77777777" w:rsidR="000B139B" w:rsidRDefault="00DB4960">
      <w:pPr>
        <w:spacing w:before="240" w:line="276" w:lineRule="auto"/>
        <w:jc w:val="both"/>
      </w:pPr>
      <w:proofErr w:type="spellStart"/>
      <w:r>
        <w:rPr>
          <w:rFonts w:cs="Calibri"/>
          <w:sz w:val="24"/>
          <w:szCs w:val="24"/>
          <w:lang w:val="en-US"/>
        </w:rPr>
        <w:lastRenderedPageBreak/>
        <w:t>Pomey</w:t>
      </w:r>
      <w:proofErr w:type="spellEnd"/>
      <w:r>
        <w:rPr>
          <w:rFonts w:cs="Calibri"/>
          <w:sz w:val="24"/>
          <w:szCs w:val="24"/>
          <w:lang w:val="en-US"/>
        </w:rPr>
        <w:t xml:space="preserve">, P. (2011). Defining a ship: architecture, function, and human space, in A. </w:t>
      </w:r>
      <w:proofErr w:type="spellStart"/>
      <w:r>
        <w:rPr>
          <w:rFonts w:cs="Calibri"/>
          <w:sz w:val="24"/>
          <w:szCs w:val="24"/>
          <w:lang w:val="en-US"/>
        </w:rPr>
        <w:t>Catsambis</w:t>
      </w:r>
      <w:proofErr w:type="spellEnd"/>
      <w:r>
        <w:rPr>
          <w:rFonts w:cs="Calibri"/>
          <w:sz w:val="24"/>
          <w:szCs w:val="24"/>
          <w:lang w:val="en-US"/>
        </w:rPr>
        <w:t xml:space="preserve">, B. Ford, and D.L. Hamilton (eds.) </w:t>
      </w:r>
      <w:r>
        <w:rPr>
          <w:rFonts w:cs="Calibri"/>
          <w:i/>
          <w:iCs/>
          <w:sz w:val="24"/>
          <w:szCs w:val="24"/>
          <w:lang w:val="en-US"/>
        </w:rPr>
        <w:t>The Oxford Handbook of Maritime</w:t>
      </w:r>
      <w:r>
        <w:rPr>
          <w:rFonts w:cs="Calibri"/>
          <w:i/>
          <w:iCs/>
          <w:sz w:val="24"/>
          <w:szCs w:val="24"/>
          <w:lang w:val="en-US"/>
        </w:rPr>
        <w:t xml:space="preserve"> Archaeology</w:t>
      </w:r>
      <w:r>
        <w:rPr>
          <w:rFonts w:cs="Calibri"/>
          <w:sz w:val="24"/>
          <w:szCs w:val="24"/>
          <w:lang w:val="en-US"/>
        </w:rPr>
        <w:t xml:space="preserve">, pp. 25-46. Oxford </w:t>
      </w:r>
    </w:p>
    <w:p w14:paraId="74BE2B27" w14:textId="77777777" w:rsidR="000B139B" w:rsidRDefault="00DB4960">
      <w:pPr>
        <w:spacing w:before="240" w:line="276" w:lineRule="auto"/>
        <w:jc w:val="both"/>
      </w:pPr>
      <w:proofErr w:type="spellStart"/>
      <w:r>
        <w:rPr>
          <w:rFonts w:cs="Calibri"/>
          <w:sz w:val="24"/>
          <w:szCs w:val="24"/>
          <w:lang w:val="en-US"/>
        </w:rPr>
        <w:t>Steffy</w:t>
      </w:r>
      <w:proofErr w:type="spellEnd"/>
      <w:r>
        <w:rPr>
          <w:rFonts w:cs="Calibri"/>
          <w:sz w:val="24"/>
          <w:szCs w:val="24"/>
          <w:lang w:val="en-US"/>
        </w:rPr>
        <w:t xml:space="preserve">, J. R. (1994). </w:t>
      </w:r>
      <w:r>
        <w:rPr>
          <w:rFonts w:cs="Calibri"/>
          <w:i/>
          <w:sz w:val="24"/>
          <w:szCs w:val="24"/>
          <w:lang w:val="en-US"/>
        </w:rPr>
        <w:t>Wooden Shipbuilding and the Interpretation of Shipwrecks,</w:t>
      </w:r>
      <w:r>
        <w:rPr>
          <w:rFonts w:cs="Calibri"/>
          <w:sz w:val="24"/>
          <w:szCs w:val="24"/>
          <w:lang w:val="en-US"/>
        </w:rPr>
        <w:t xml:space="preserve"> Texas.</w:t>
      </w:r>
    </w:p>
    <w:p w14:paraId="3E8A74AC" w14:textId="77777777" w:rsidR="000B139B" w:rsidRDefault="00DB4960">
      <w:pPr>
        <w:spacing w:before="240" w:line="276" w:lineRule="auto"/>
        <w:jc w:val="both"/>
      </w:pPr>
      <w:proofErr w:type="spellStart"/>
      <w:r>
        <w:rPr>
          <w:rFonts w:cs="Calibri"/>
          <w:sz w:val="24"/>
          <w:szCs w:val="24"/>
          <w:lang w:val="en-US"/>
        </w:rPr>
        <w:t>Tzamtzis</w:t>
      </w:r>
      <w:proofErr w:type="spellEnd"/>
      <w:r>
        <w:rPr>
          <w:rFonts w:cs="Calibri"/>
          <w:sz w:val="24"/>
          <w:szCs w:val="24"/>
          <w:lang w:val="en-US"/>
        </w:rPr>
        <w:t xml:space="preserve">, A. I. (1972). Ships, Ports and Sailors, </w:t>
      </w:r>
      <w:bookmarkStart w:id="17" w:name="_Hlk57886544"/>
      <w:r>
        <w:rPr>
          <w:rFonts w:cs="Calibri"/>
          <w:sz w:val="24"/>
          <w:szCs w:val="24"/>
          <w:lang w:val="en-US"/>
        </w:rPr>
        <w:t xml:space="preserve">in St. Papadopoulos (ed.), </w:t>
      </w:r>
      <w:r>
        <w:rPr>
          <w:rFonts w:cs="Calibri"/>
          <w:i/>
          <w:iCs/>
          <w:sz w:val="24"/>
          <w:szCs w:val="24"/>
          <w:lang w:val="en-US"/>
        </w:rPr>
        <w:t>The Greek Merchant Marine: (1453-1850)</w:t>
      </w:r>
      <w:r>
        <w:rPr>
          <w:rFonts w:cs="Calibri"/>
          <w:sz w:val="24"/>
          <w:szCs w:val="24"/>
          <w:lang w:val="en-US"/>
        </w:rPr>
        <w:t>, pp. 53-174, Nationa</w:t>
      </w:r>
      <w:r>
        <w:rPr>
          <w:rFonts w:cs="Calibri"/>
          <w:sz w:val="24"/>
          <w:szCs w:val="24"/>
          <w:lang w:val="en-US"/>
        </w:rPr>
        <w:t>l Bank of Greece.</w:t>
      </w:r>
      <w:bookmarkEnd w:id="17"/>
    </w:p>
    <w:p w14:paraId="60AACDEA" w14:textId="77777777" w:rsidR="000B139B" w:rsidRDefault="00DB4960">
      <w:pPr>
        <w:spacing w:before="240" w:line="276" w:lineRule="auto"/>
        <w:jc w:val="both"/>
      </w:pPr>
      <w:proofErr w:type="spellStart"/>
      <w:r>
        <w:rPr>
          <w:rFonts w:cs="Calibri"/>
          <w:sz w:val="24"/>
          <w:szCs w:val="24"/>
          <w:lang w:val="en-US"/>
        </w:rPr>
        <w:t>Tzamtzis</w:t>
      </w:r>
      <w:proofErr w:type="spellEnd"/>
      <w:r>
        <w:rPr>
          <w:rFonts w:cs="Calibri"/>
          <w:sz w:val="24"/>
          <w:szCs w:val="24"/>
          <w:lang w:val="en-US"/>
        </w:rPr>
        <w:t xml:space="preserve">, A. I. (1987). </w:t>
      </w:r>
      <w:r>
        <w:rPr>
          <w:rFonts w:cs="Calibri"/>
          <w:sz w:val="24"/>
          <w:szCs w:val="24"/>
        </w:rPr>
        <w:t>Μια</w:t>
      </w:r>
      <w:r>
        <w:rPr>
          <w:rFonts w:cs="Calibri"/>
          <w:sz w:val="24"/>
          <w:szCs w:val="24"/>
          <w:lang w:val="en-US"/>
        </w:rPr>
        <w:t xml:space="preserve"> </w:t>
      </w:r>
      <w:r>
        <w:rPr>
          <w:rFonts w:cs="Calibri"/>
          <w:sz w:val="24"/>
          <w:szCs w:val="24"/>
        </w:rPr>
        <w:t>ναυπήγηση</w:t>
      </w:r>
      <w:r>
        <w:rPr>
          <w:rFonts w:cs="Calibri"/>
          <w:sz w:val="24"/>
          <w:szCs w:val="24"/>
          <w:lang w:val="en-US"/>
        </w:rPr>
        <w:t xml:space="preserve"> </w:t>
      </w:r>
      <w:r>
        <w:rPr>
          <w:rFonts w:cs="Calibri"/>
          <w:sz w:val="24"/>
          <w:szCs w:val="24"/>
        </w:rPr>
        <w:t>πριν</w:t>
      </w:r>
      <w:r>
        <w:rPr>
          <w:rFonts w:cs="Calibri"/>
          <w:sz w:val="24"/>
          <w:szCs w:val="24"/>
          <w:lang w:val="en-US"/>
        </w:rPr>
        <w:t xml:space="preserve"> 150 </w:t>
      </w:r>
      <w:r>
        <w:rPr>
          <w:rFonts w:cs="Calibri"/>
          <w:sz w:val="24"/>
          <w:szCs w:val="24"/>
        </w:rPr>
        <w:t>χρόνια</w:t>
      </w:r>
      <w:r>
        <w:rPr>
          <w:rFonts w:cs="Calibri"/>
          <w:sz w:val="24"/>
          <w:szCs w:val="24"/>
          <w:lang w:val="en-US"/>
        </w:rPr>
        <w:t xml:space="preserve"> [A ship building 150 years ago], </w:t>
      </w:r>
      <w:proofErr w:type="spellStart"/>
      <w:r>
        <w:rPr>
          <w:rFonts w:cs="Calibri"/>
          <w:i/>
          <w:iCs/>
          <w:sz w:val="24"/>
          <w:szCs w:val="24"/>
          <w:lang w:val="en-US"/>
        </w:rPr>
        <w:t>Nautika</w:t>
      </w:r>
      <w:proofErr w:type="spellEnd"/>
      <w:r>
        <w:rPr>
          <w:rFonts w:cs="Calibri"/>
          <w:i/>
          <w:iCs/>
          <w:sz w:val="24"/>
          <w:szCs w:val="24"/>
          <w:lang w:val="en-US"/>
        </w:rPr>
        <w:t xml:space="preserve"> </w:t>
      </w:r>
      <w:proofErr w:type="spellStart"/>
      <w:r>
        <w:rPr>
          <w:rFonts w:cs="Calibri"/>
          <w:i/>
          <w:iCs/>
          <w:sz w:val="24"/>
          <w:szCs w:val="24"/>
          <w:lang w:val="en-US"/>
        </w:rPr>
        <w:t>Chronika</w:t>
      </w:r>
      <w:proofErr w:type="spellEnd"/>
      <w:r>
        <w:rPr>
          <w:rFonts w:cs="Calibri"/>
          <w:sz w:val="24"/>
          <w:szCs w:val="24"/>
          <w:lang w:val="en-US"/>
        </w:rPr>
        <w:t xml:space="preserve"> 1248/1007, pp. 28-30.</w:t>
      </w:r>
    </w:p>
    <w:p w14:paraId="13AA6546" w14:textId="77777777" w:rsidR="000B139B" w:rsidRDefault="000B139B">
      <w:pPr>
        <w:rPr>
          <w:lang w:val="en-US"/>
        </w:rPr>
      </w:pPr>
    </w:p>
    <w:sectPr w:rsidR="000B139B">
      <w:footerReference w:type="default" r:id="rId21"/>
      <w:pgSz w:w="11906" w:h="16838"/>
      <w:pgMar w:top="1440" w:right="1800" w:bottom="126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5B0D38" w14:textId="77777777" w:rsidR="00DB4960" w:rsidRDefault="00DB4960">
      <w:pPr>
        <w:spacing w:after="0" w:line="240" w:lineRule="auto"/>
      </w:pPr>
      <w:r>
        <w:separator/>
      </w:r>
    </w:p>
  </w:endnote>
  <w:endnote w:type="continuationSeparator" w:id="0">
    <w:p w14:paraId="4197F6FD" w14:textId="77777777" w:rsidR="00DB4960" w:rsidRDefault="00DB4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Calibri">
    <w:panose1 w:val="020F0502020204030204"/>
    <w:charset w:val="A1"/>
    <w:family w:val="swiss"/>
    <w:pitch w:val="variable"/>
    <w:sig w:usb0="E4002EFF" w:usb1="C000247B" w:usb2="00000009" w:usb3="00000000" w:csb0="000001FF" w:csb1="00000000"/>
  </w:font>
  <w:font w:name="TimesNRMT">
    <w:panose1 w:val="020B0604020202020204"/>
    <w:charset w:val="00"/>
    <w:family w:val="roman"/>
    <w:pitch w:val="default"/>
  </w:font>
  <w:font w:name="Roboto-Light">
    <w:altName w:val="Arial"/>
    <w:panose1 w:val="020B0604020202020204"/>
    <w:charset w:val="00"/>
    <w:family w:val="swiss"/>
    <w:pitch w:val="default"/>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DA368" w14:textId="77777777" w:rsidR="00574C7C" w:rsidRDefault="00DB4960">
    <w:pPr>
      <w:pStyle w:val="Footer"/>
      <w:jc w:val="right"/>
    </w:pPr>
    <w:r>
      <w:fldChar w:fldCharType="begin"/>
    </w:r>
    <w:r>
      <w:instrText xml:space="preserve"> PAGE </w:instrText>
    </w:r>
    <w:r>
      <w:fldChar w:fldCharType="separate"/>
    </w:r>
    <w:r>
      <w:t>2</w:t>
    </w:r>
    <w:r>
      <w:fldChar w:fldCharType="end"/>
    </w:r>
  </w:p>
  <w:p w14:paraId="2E029457" w14:textId="77777777" w:rsidR="00574C7C" w:rsidRDefault="00DB4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AB527B" w14:textId="77777777" w:rsidR="00DB4960" w:rsidRDefault="00DB4960">
      <w:pPr>
        <w:spacing w:after="0" w:line="240" w:lineRule="auto"/>
      </w:pPr>
      <w:r>
        <w:rPr>
          <w:color w:val="000000"/>
        </w:rPr>
        <w:separator/>
      </w:r>
    </w:p>
  </w:footnote>
  <w:footnote w:type="continuationSeparator" w:id="0">
    <w:p w14:paraId="7B9D5776" w14:textId="77777777" w:rsidR="00DB4960" w:rsidRDefault="00DB49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75BB5"/>
    <w:multiLevelType w:val="multilevel"/>
    <w:tmpl w:val="16E249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AC27B9"/>
    <w:multiLevelType w:val="multilevel"/>
    <w:tmpl w:val="47C244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645823"/>
    <w:multiLevelType w:val="multilevel"/>
    <w:tmpl w:val="F6281CB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61F1163"/>
    <w:multiLevelType w:val="multilevel"/>
    <w:tmpl w:val="5B66DC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2DD5860"/>
    <w:multiLevelType w:val="multilevel"/>
    <w:tmpl w:val="380C8B44"/>
    <w:lvl w:ilvl="0">
      <w:start w:val="1"/>
      <w:numFmt w:val="decimal"/>
      <w:lvlText w:val="%1."/>
      <w:lvlJc w:val="left"/>
      <w:pPr>
        <w:ind w:left="720" w:hanging="360"/>
      </w:pPr>
      <w:rPr>
        <w:b/>
        <w:bCs/>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0B139B"/>
    <w:rsid w:val="000B139B"/>
    <w:rsid w:val="00BD09ED"/>
    <w:rsid w:val="00DB4960"/>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decimalSymbol w:val="."/>
  <w:listSeparator w:val=","/>
  <w14:docId w14:val="7B9B0978"/>
  <w15:docId w15:val="{DC16FBB3-0044-BD4A-B0C4-295E491F5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l-GR"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spacing w:line="240" w:lineRule="auto"/>
      <w:ind w:left="720"/>
    </w:pPr>
  </w:style>
  <w:style w:type="paragraph" w:styleId="NoSpacing">
    <w:name w:val="No Spacing"/>
    <w:pPr>
      <w:suppressAutoHyphens/>
      <w:spacing w:after="0" w:line="240" w:lineRule="auto"/>
    </w:pPr>
    <w:rPr>
      <w:rFonts w:ascii="Times New Roman" w:hAnsi="Times New Roman"/>
      <w:color w:val="000000"/>
      <w:sz w:val="24"/>
      <w:szCs w:val="28"/>
    </w:rPr>
  </w:style>
  <w:style w:type="character" w:customStyle="1" w:styleId="tlid-translation">
    <w:name w:val="tlid-translation"/>
    <w:basedOn w:val="DefaultParagraphFont"/>
  </w:style>
  <w:style w:type="character" w:customStyle="1" w:styleId="a">
    <w:name w:val="Προεπιλεγμένη γραμματοσειρά"/>
  </w:style>
  <w:style w:type="paragraph" w:customStyle="1" w:styleId="Default">
    <w:name w:val="Default"/>
    <w:pPr>
      <w:suppressAutoHyphens/>
      <w:autoSpaceDE w:val="0"/>
      <w:spacing w:after="0" w:line="240" w:lineRule="auto"/>
    </w:pPr>
    <w:rPr>
      <w:rFonts w:cs="Calibri"/>
      <w:color w:val="000000"/>
      <w:sz w:val="24"/>
      <w:szCs w:val="24"/>
    </w:rPr>
  </w:style>
  <w:style w:type="character" w:styleId="Emphasis">
    <w:name w:val="Emphasis"/>
    <w:rPr>
      <w:i/>
      <w:iCs/>
    </w:rPr>
  </w:style>
  <w:style w:type="character" w:customStyle="1" w:styleId="text">
    <w:name w:val="text"/>
    <w:basedOn w:val="DefaultParagraphFont"/>
  </w:style>
  <w:style w:type="character" w:styleId="Strong">
    <w:name w:val="Strong"/>
    <w:rPr>
      <w:b/>
      <w:bCs/>
    </w:rPr>
  </w:style>
  <w:style w:type="paragraph" w:styleId="Footer">
    <w:name w:val="footer"/>
    <w:basedOn w:val="Normal"/>
    <w:pPr>
      <w:tabs>
        <w:tab w:val="center" w:pos="4153"/>
        <w:tab w:val="right" w:pos="8306"/>
      </w:tabs>
      <w:spacing w:after="0" w:line="240" w:lineRule="auto"/>
    </w:pPr>
  </w:style>
  <w:style w:type="character" w:customStyle="1" w:styleId="FooterChar">
    <w:name w:val="Footer Char"/>
    <w:basedOn w:val="DefaultParagraphFont"/>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2617</Words>
  <Characters>14923</Characters>
  <Application>Microsoft Office Word</Application>
  <DocSecurity>0</DocSecurity>
  <Lines>124</Lines>
  <Paragraphs>35</Paragraphs>
  <ScaleCrop>false</ScaleCrop>
  <Company/>
  <LinksUpToDate>false</LinksUpToDate>
  <CharactersWithSpaces>17505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Antri Evripidou</dc:creator>
  <dc:description/>
  <cp:lastModifiedBy>Stella Demesticha</cp:lastModifiedBy>
  <cp:revision>2</cp:revision>
  <dcterms:created xsi:type="dcterms:W3CDTF">2021-03-09T04:26:00Z</dcterms:created>
  <dcterms:modified xsi:type="dcterms:W3CDTF">2021-03-09T04:26:00Z</dcterms:modified>
</cp:coreProperties>
</file>